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8B732" w14:textId="77777777" w:rsidR="002F2CDF" w:rsidRDefault="002F2CDF" w:rsidP="002F2CDF">
      <w:pPr>
        <w:pStyle w:val="Default"/>
        <w:tabs>
          <w:tab w:val="left" w:pos="2268"/>
        </w:tabs>
        <w:jc w:val="center"/>
        <w:rPr>
          <w:rFonts w:eastAsia="Calibri"/>
          <w:b/>
          <w:bCs/>
          <w:sz w:val="32"/>
          <w:szCs w:val="28"/>
        </w:rPr>
      </w:pPr>
    </w:p>
    <w:p w14:paraId="35CE6093" w14:textId="77777777" w:rsidR="00AF6404" w:rsidRDefault="00AF6404" w:rsidP="002F2CDF">
      <w:pPr>
        <w:pStyle w:val="Default"/>
        <w:tabs>
          <w:tab w:val="left" w:pos="2268"/>
        </w:tabs>
        <w:jc w:val="center"/>
        <w:rPr>
          <w:rFonts w:eastAsia="Times New Roman"/>
          <w:b/>
          <w:sz w:val="28"/>
          <w:lang w:val="es-AR"/>
        </w:rPr>
      </w:pPr>
      <w:r w:rsidRPr="002918EE">
        <w:rPr>
          <w:rFonts w:eastAsia="Times New Roman"/>
          <w:b/>
          <w:sz w:val="28"/>
          <w:lang w:val="es-AR"/>
        </w:rPr>
        <w:t xml:space="preserve">Inversión Bayesiana de un </w:t>
      </w:r>
      <w:r>
        <w:rPr>
          <w:rFonts w:eastAsia="Times New Roman"/>
          <w:b/>
          <w:sz w:val="28"/>
          <w:lang w:val="es-AR"/>
        </w:rPr>
        <w:t>M</w:t>
      </w:r>
      <w:r w:rsidRPr="002918EE">
        <w:rPr>
          <w:rFonts w:eastAsia="Times New Roman"/>
          <w:b/>
          <w:sz w:val="28"/>
          <w:lang w:val="es-AR"/>
        </w:rPr>
        <w:t xml:space="preserve">odelo </w:t>
      </w:r>
      <w:r>
        <w:rPr>
          <w:rFonts w:eastAsia="Times New Roman"/>
          <w:b/>
          <w:sz w:val="28"/>
          <w:lang w:val="es-AR"/>
        </w:rPr>
        <w:t>D</w:t>
      </w:r>
      <w:r w:rsidRPr="002918EE">
        <w:rPr>
          <w:rFonts w:eastAsia="Times New Roman"/>
          <w:b/>
          <w:sz w:val="28"/>
          <w:lang w:val="es-AR"/>
        </w:rPr>
        <w:t xml:space="preserve">inámico </w:t>
      </w:r>
      <w:r>
        <w:rPr>
          <w:rFonts w:eastAsia="Times New Roman"/>
          <w:b/>
          <w:sz w:val="28"/>
          <w:lang w:val="es-AR"/>
        </w:rPr>
        <w:t>N</w:t>
      </w:r>
      <w:r w:rsidRPr="002918EE">
        <w:rPr>
          <w:rFonts w:eastAsia="Times New Roman"/>
          <w:b/>
          <w:sz w:val="28"/>
          <w:lang w:val="es-AR"/>
        </w:rPr>
        <w:t xml:space="preserve">o </w:t>
      </w:r>
      <w:r>
        <w:rPr>
          <w:rFonts w:eastAsia="Times New Roman"/>
          <w:b/>
          <w:sz w:val="28"/>
          <w:lang w:val="es-AR"/>
        </w:rPr>
        <w:t>L</w:t>
      </w:r>
      <w:r w:rsidRPr="002918EE">
        <w:rPr>
          <w:rFonts w:eastAsia="Times New Roman"/>
          <w:b/>
          <w:sz w:val="28"/>
          <w:lang w:val="es-AR"/>
        </w:rPr>
        <w:t>ineal</w:t>
      </w:r>
    </w:p>
    <w:p w14:paraId="3208C824" w14:textId="495BC630" w:rsidR="002F2CDF" w:rsidRPr="00EC290A" w:rsidRDefault="00AF6404" w:rsidP="002F2CDF">
      <w:pPr>
        <w:pStyle w:val="Default"/>
        <w:tabs>
          <w:tab w:val="left" w:pos="2268"/>
        </w:tabs>
        <w:jc w:val="center"/>
        <w:rPr>
          <w:b/>
          <w:sz w:val="32"/>
          <w:szCs w:val="28"/>
        </w:rPr>
      </w:pPr>
      <w:proofErr w:type="gramStart"/>
      <w:r w:rsidRPr="002918EE">
        <w:rPr>
          <w:rFonts w:eastAsia="Times New Roman"/>
          <w:b/>
          <w:sz w:val="28"/>
          <w:lang w:val="es-AR"/>
        </w:rPr>
        <w:t>para</w:t>
      </w:r>
      <w:proofErr w:type="gramEnd"/>
      <w:r w:rsidRPr="002918EE">
        <w:rPr>
          <w:rFonts w:eastAsia="Times New Roman"/>
          <w:b/>
          <w:sz w:val="28"/>
          <w:lang w:val="es-AR"/>
        </w:rPr>
        <w:t xml:space="preserve"> </w:t>
      </w:r>
      <w:r>
        <w:rPr>
          <w:rFonts w:eastAsia="Times New Roman"/>
          <w:b/>
          <w:sz w:val="28"/>
          <w:lang w:val="es-AR"/>
        </w:rPr>
        <w:t>A</w:t>
      </w:r>
      <w:r w:rsidRPr="002918EE">
        <w:rPr>
          <w:rFonts w:eastAsia="Times New Roman"/>
          <w:b/>
          <w:sz w:val="28"/>
          <w:lang w:val="es-AR"/>
        </w:rPr>
        <w:t xml:space="preserve">mortiguadores </w:t>
      </w:r>
      <w:r>
        <w:rPr>
          <w:rFonts w:eastAsia="Times New Roman"/>
          <w:b/>
          <w:sz w:val="28"/>
          <w:lang w:val="es-AR"/>
        </w:rPr>
        <w:t>T</w:t>
      </w:r>
      <w:r w:rsidRPr="002918EE">
        <w:rPr>
          <w:rFonts w:eastAsia="Times New Roman"/>
          <w:b/>
          <w:sz w:val="28"/>
          <w:lang w:val="es-AR"/>
        </w:rPr>
        <w:t xml:space="preserve">ipo </w:t>
      </w:r>
      <w:proofErr w:type="spellStart"/>
      <w:r w:rsidRPr="002918EE">
        <w:rPr>
          <w:rFonts w:eastAsia="Times New Roman"/>
          <w:b/>
          <w:sz w:val="28"/>
          <w:lang w:val="es-AR"/>
        </w:rPr>
        <w:t>Stockbridge</w:t>
      </w:r>
      <w:proofErr w:type="spellEnd"/>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074A54CB" w14:textId="77777777" w:rsidR="00AF6404" w:rsidRPr="00A84CB6" w:rsidRDefault="00AF6404" w:rsidP="00AF6404">
      <w:pPr>
        <w:pStyle w:val="Default"/>
        <w:jc w:val="center"/>
        <w:rPr>
          <w:b/>
          <w:bCs/>
          <w:smallCaps/>
          <w:sz w:val="20"/>
          <w:szCs w:val="20"/>
          <w:vertAlign w:val="superscript"/>
        </w:rPr>
      </w:pPr>
      <w:r>
        <w:rPr>
          <w:b/>
          <w:bCs/>
          <w:sz w:val="20"/>
          <w:szCs w:val="20"/>
        </w:rPr>
        <w:t>Damián Campos</w:t>
      </w:r>
      <w:r w:rsidRPr="00A84CB6">
        <w:rPr>
          <w:b/>
          <w:bCs/>
          <w:smallCaps/>
          <w:sz w:val="20"/>
          <w:szCs w:val="20"/>
          <w:vertAlign w:val="superscript"/>
        </w:rPr>
        <w:t>1</w:t>
      </w:r>
      <w:r w:rsidRPr="00A84CB6">
        <w:rPr>
          <w:b/>
          <w:bCs/>
          <w:smallCaps/>
          <w:sz w:val="20"/>
          <w:szCs w:val="20"/>
        </w:rPr>
        <w:t>,</w:t>
      </w:r>
      <w:r w:rsidRPr="00022DB1">
        <w:rPr>
          <w:b/>
          <w:bCs/>
          <w:sz w:val="20"/>
          <w:szCs w:val="20"/>
        </w:rPr>
        <w:t xml:space="preserve"> </w:t>
      </w:r>
      <w:r>
        <w:rPr>
          <w:b/>
          <w:bCs/>
          <w:sz w:val="20"/>
          <w:szCs w:val="20"/>
        </w:rPr>
        <w:t xml:space="preserve">Andrés </w:t>
      </w:r>
      <w:proofErr w:type="spellStart"/>
      <w:r>
        <w:rPr>
          <w:b/>
          <w:bCs/>
          <w:sz w:val="20"/>
          <w:szCs w:val="20"/>
        </w:rPr>
        <w:t>Ajras</w:t>
      </w:r>
      <w:proofErr w:type="spellEnd"/>
      <w:r w:rsidRPr="00A84CB6">
        <w:rPr>
          <w:b/>
          <w:bCs/>
          <w:smallCaps/>
          <w:sz w:val="20"/>
          <w:szCs w:val="20"/>
          <w:vertAlign w:val="superscript"/>
        </w:rPr>
        <w:t xml:space="preserve"> </w:t>
      </w:r>
      <w:r>
        <w:rPr>
          <w:b/>
          <w:bCs/>
          <w:smallCaps/>
          <w:sz w:val="20"/>
          <w:szCs w:val="20"/>
          <w:vertAlign w:val="superscript"/>
        </w:rPr>
        <w:t>2</w:t>
      </w:r>
      <w:r w:rsidRPr="00A84CB6">
        <w:rPr>
          <w:b/>
          <w:bCs/>
          <w:smallCaps/>
          <w:sz w:val="20"/>
          <w:szCs w:val="20"/>
        </w:rPr>
        <w:t xml:space="preserve">, </w:t>
      </w:r>
      <w:r>
        <w:rPr>
          <w:b/>
          <w:bCs/>
          <w:sz w:val="20"/>
          <w:szCs w:val="20"/>
        </w:rPr>
        <w:t xml:space="preserve">Lucas </w:t>
      </w:r>
      <w:proofErr w:type="spellStart"/>
      <w:r>
        <w:rPr>
          <w:b/>
          <w:bCs/>
          <w:sz w:val="20"/>
          <w:szCs w:val="20"/>
        </w:rPr>
        <w:t>Goytiño</w:t>
      </w:r>
      <w:proofErr w:type="spellEnd"/>
      <w:r w:rsidRPr="00A84CB6">
        <w:rPr>
          <w:b/>
          <w:bCs/>
          <w:smallCaps/>
          <w:sz w:val="20"/>
          <w:szCs w:val="20"/>
          <w:vertAlign w:val="superscript"/>
        </w:rPr>
        <w:t xml:space="preserve"> </w:t>
      </w:r>
      <w:r>
        <w:rPr>
          <w:b/>
          <w:bCs/>
          <w:smallCaps/>
          <w:sz w:val="20"/>
          <w:szCs w:val="20"/>
          <w:vertAlign w:val="superscript"/>
        </w:rPr>
        <w:t>3</w:t>
      </w:r>
      <w:r w:rsidRPr="00A84CB6">
        <w:rPr>
          <w:b/>
          <w:bCs/>
          <w:smallCaps/>
          <w:sz w:val="20"/>
          <w:szCs w:val="20"/>
        </w:rPr>
        <w:t xml:space="preserve">, </w:t>
      </w:r>
      <w:r>
        <w:rPr>
          <w:b/>
          <w:bCs/>
          <w:sz w:val="20"/>
          <w:szCs w:val="20"/>
        </w:rPr>
        <w:t>Marcelo Tulio Piovan</w:t>
      </w:r>
      <w:r w:rsidRPr="00A84CB6">
        <w:rPr>
          <w:b/>
          <w:bCs/>
          <w:smallCaps/>
          <w:sz w:val="20"/>
          <w:szCs w:val="20"/>
          <w:vertAlign w:val="superscript"/>
        </w:rPr>
        <w:t xml:space="preserve"> </w:t>
      </w:r>
      <w:r>
        <w:rPr>
          <w:b/>
          <w:bCs/>
          <w:smallCaps/>
          <w:sz w:val="20"/>
          <w:szCs w:val="20"/>
          <w:vertAlign w:val="superscript"/>
        </w:rPr>
        <w:t>4</w:t>
      </w:r>
    </w:p>
    <w:p w14:paraId="092786C4" w14:textId="77777777" w:rsidR="002F2CDF" w:rsidRPr="0079704E" w:rsidRDefault="002F2CDF" w:rsidP="00D658B1">
      <w:pPr>
        <w:pStyle w:val="Default"/>
        <w:ind w:left="1416" w:hanging="1416"/>
        <w:jc w:val="center"/>
        <w:rPr>
          <w:sz w:val="20"/>
          <w:szCs w:val="20"/>
        </w:rPr>
      </w:pPr>
    </w:p>
    <w:p w14:paraId="33C9F5BD" w14:textId="77777777" w:rsidR="00AF6404" w:rsidRPr="00FB73A9" w:rsidRDefault="00AF6404" w:rsidP="00AF6404">
      <w:pPr>
        <w:jc w:val="center"/>
        <w:rPr>
          <w:sz w:val="18"/>
        </w:rPr>
      </w:pPr>
      <w:r w:rsidRPr="00FB73A9">
        <w:rPr>
          <w:sz w:val="18"/>
          <w:vertAlign w:val="superscript"/>
        </w:rPr>
        <w:t>1</w:t>
      </w:r>
      <w:bookmarkStart w:id="0" w:name="_Hlk112499791"/>
      <w:r>
        <w:rPr>
          <w:sz w:val="18"/>
        </w:rPr>
        <w:t>Laboratorio de Ensayo de Conductores</w:t>
      </w:r>
      <w:r w:rsidRPr="00FB73A9">
        <w:rPr>
          <w:sz w:val="18"/>
        </w:rPr>
        <w:t xml:space="preserve">, </w:t>
      </w:r>
      <w:r>
        <w:rPr>
          <w:sz w:val="18"/>
        </w:rPr>
        <w:t>Departamento de Mecánica Aplicada</w:t>
      </w:r>
      <w:r w:rsidRPr="00FB73A9">
        <w:rPr>
          <w:sz w:val="18"/>
        </w:rPr>
        <w:t xml:space="preserve">, </w:t>
      </w:r>
      <w:r>
        <w:rPr>
          <w:sz w:val="18"/>
        </w:rPr>
        <w:t xml:space="preserve">Facultad de Ingeniería, Universidad Nacional del </w:t>
      </w:r>
      <w:proofErr w:type="spellStart"/>
      <w:r>
        <w:rPr>
          <w:sz w:val="18"/>
        </w:rPr>
        <w:t>Comahue</w:t>
      </w:r>
      <w:proofErr w:type="spellEnd"/>
      <w:r w:rsidRPr="00FB73A9">
        <w:rPr>
          <w:sz w:val="18"/>
        </w:rPr>
        <w:t xml:space="preserve">, </w:t>
      </w:r>
      <w:r>
        <w:rPr>
          <w:sz w:val="18"/>
        </w:rPr>
        <w:t>Argentina</w:t>
      </w:r>
      <w:r w:rsidRPr="00FB73A9">
        <w:rPr>
          <w:sz w:val="18"/>
        </w:rPr>
        <w:t xml:space="preserve">. Email: </w:t>
      </w:r>
      <w:r>
        <w:rPr>
          <w:sz w:val="18"/>
        </w:rPr>
        <w:t>damian.campos@fain.uncoma.edu.ar</w:t>
      </w:r>
      <w:bookmarkEnd w:id="0"/>
    </w:p>
    <w:p w14:paraId="65E53118" w14:textId="77777777" w:rsidR="00AF6404" w:rsidRPr="00FB73A9" w:rsidRDefault="00AF6404" w:rsidP="00AF6404">
      <w:pPr>
        <w:jc w:val="center"/>
        <w:rPr>
          <w:sz w:val="18"/>
        </w:rPr>
      </w:pPr>
      <w:r w:rsidRPr="00FB73A9">
        <w:rPr>
          <w:rStyle w:val="Refdenotaalpie"/>
          <w:rFonts w:cs="Times New Roman"/>
          <w:sz w:val="16"/>
          <w:szCs w:val="18"/>
        </w:rPr>
        <w:t xml:space="preserve">2 </w:t>
      </w:r>
      <w:r w:rsidRPr="005512F7">
        <w:rPr>
          <w:sz w:val="18"/>
        </w:rPr>
        <w:t xml:space="preserve">Laboratorio de Ensayo de Conductores, Departamento de Mecánica Aplicada, Facultad de Ingeniería, Universidad Nacional del </w:t>
      </w:r>
      <w:proofErr w:type="spellStart"/>
      <w:r w:rsidRPr="005512F7">
        <w:rPr>
          <w:sz w:val="18"/>
        </w:rPr>
        <w:t>Comahue</w:t>
      </w:r>
      <w:proofErr w:type="spellEnd"/>
      <w:r w:rsidRPr="005512F7">
        <w:rPr>
          <w:sz w:val="18"/>
        </w:rPr>
        <w:t xml:space="preserve">, Argentina. Email: </w:t>
      </w:r>
      <w:r>
        <w:rPr>
          <w:sz w:val="18"/>
        </w:rPr>
        <w:t>andres.ajras</w:t>
      </w:r>
      <w:r w:rsidRPr="005512F7">
        <w:rPr>
          <w:sz w:val="18"/>
        </w:rPr>
        <w:t>@fain.uncoma.edu.ar</w:t>
      </w:r>
    </w:p>
    <w:p w14:paraId="249952F7" w14:textId="77777777" w:rsidR="00AF6404" w:rsidRPr="00FB73A9" w:rsidRDefault="00AF6404" w:rsidP="00AF6404">
      <w:pPr>
        <w:jc w:val="center"/>
        <w:rPr>
          <w:sz w:val="18"/>
        </w:rPr>
      </w:pPr>
      <w:r w:rsidRPr="00FB73A9">
        <w:rPr>
          <w:rStyle w:val="Refdenotaalpie"/>
          <w:sz w:val="16"/>
          <w:szCs w:val="18"/>
        </w:rPr>
        <w:t>3</w:t>
      </w:r>
      <w:r w:rsidRPr="00FB73A9">
        <w:rPr>
          <w:sz w:val="18"/>
          <w:vertAlign w:val="superscript"/>
        </w:rPr>
        <w:t xml:space="preserve"> </w:t>
      </w:r>
      <w:r>
        <w:rPr>
          <w:sz w:val="18"/>
        </w:rPr>
        <w:t>Laboratorio de Ensayo de Conductores</w:t>
      </w:r>
      <w:r w:rsidRPr="00FB73A9">
        <w:rPr>
          <w:sz w:val="18"/>
        </w:rPr>
        <w:t xml:space="preserve">, </w:t>
      </w:r>
      <w:r>
        <w:rPr>
          <w:sz w:val="18"/>
        </w:rPr>
        <w:t>Departamento de Mecánica Aplicada</w:t>
      </w:r>
      <w:r w:rsidRPr="00FB73A9">
        <w:rPr>
          <w:sz w:val="18"/>
        </w:rPr>
        <w:t xml:space="preserve">, </w:t>
      </w:r>
      <w:r>
        <w:rPr>
          <w:sz w:val="18"/>
        </w:rPr>
        <w:t xml:space="preserve">Facultad de Ingeniería, Universidad Nacional del </w:t>
      </w:r>
      <w:proofErr w:type="spellStart"/>
      <w:r>
        <w:rPr>
          <w:sz w:val="18"/>
        </w:rPr>
        <w:t>Comahue</w:t>
      </w:r>
      <w:proofErr w:type="spellEnd"/>
      <w:r w:rsidRPr="00FB73A9">
        <w:rPr>
          <w:sz w:val="18"/>
        </w:rPr>
        <w:t xml:space="preserve">, </w:t>
      </w:r>
      <w:r>
        <w:rPr>
          <w:sz w:val="18"/>
        </w:rPr>
        <w:t>Argentina</w:t>
      </w:r>
      <w:r w:rsidRPr="00FB73A9">
        <w:rPr>
          <w:sz w:val="18"/>
        </w:rPr>
        <w:t xml:space="preserve">. Email: </w:t>
      </w:r>
      <w:r>
        <w:rPr>
          <w:sz w:val="18"/>
        </w:rPr>
        <w:t>lucas.goytino@fain.uncoma.edu.ar</w:t>
      </w:r>
      <w:r w:rsidRPr="00FB73A9">
        <w:rPr>
          <w:sz w:val="18"/>
        </w:rPr>
        <w:t xml:space="preserve"> </w:t>
      </w:r>
    </w:p>
    <w:p w14:paraId="36E687F5" w14:textId="7E0228D4" w:rsidR="000166CA" w:rsidRPr="00AF6404" w:rsidRDefault="00AF6404" w:rsidP="00AF6404">
      <w:pPr>
        <w:jc w:val="center"/>
        <w:rPr>
          <w:sz w:val="18"/>
        </w:rPr>
      </w:pPr>
      <w:r w:rsidRPr="00FB73A9">
        <w:rPr>
          <w:bCs/>
          <w:smallCaps/>
          <w:sz w:val="18"/>
          <w:vertAlign w:val="superscript"/>
        </w:rPr>
        <w:t xml:space="preserve">4 </w:t>
      </w:r>
      <w:r w:rsidRPr="00D16322">
        <w:rPr>
          <w:sz w:val="18"/>
        </w:rPr>
        <w:t>Centro de Investigaciones de Mecánica Teórica y Aplicada, Universidad Tecnológica Nacional FRBB y CONICET</w:t>
      </w:r>
      <w:r>
        <w:rPr>
          <w:sz w:val="18"/>
        </w:rPr>
        <w:t>,</w:t>
      </w:r>
      <w:r w:rsidRPr="00D16322">
        <w:rPr>
          <w:sz w:val="18"/>
        </w:rPr>
        <w:t xml:space="preserve"> Argentina.</w:t>
      </w:r>
      <w:r>
        <w:rPr>
          <w:sz w:val="18"/>
        </w:rPr>
        <w:t xml:space="preserve"> Email:</w:t>
      </w:r>
      <w:r w:rsidRPr="00D16322">
        <w:rPr>
          <w:sz w:val="18"/>
        </w:rPr>
        <w:t xml:space="preserve"> mpiovan@frbb.utn.edu.ar </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3B348AAB" w:rsidR="00E34FCE" w:rsidRPr="00FB73A9" w:rsidRDefault="00AF6404" w:rsidP="00FB73A9">
      <w:r w:rsidRPr="002918EE">
        <w:rPr>
          <w:lang w:val="es-ES"/>
        </w:rPr>
        <w:t xml:space="preserve">Los amortiguadores tipo </w:t>
      </w:r>
      <w:proofErr w:type="spellStart"/>
      <w:r w:rsidRPr="002918EE">
        <w:rPr>
          <w:lang w:val="es-ES"/>
        </w:rPr>
        <w:t>Stockbridge</w:t>
      </w:r>
      <w:proofErr w:type="spellEnd"/>
      <w:r w:rsidRPr="002918EE">
        <w:rPr>
          <w:lang w:val="es-ES"/>
        </w:rPr>
        <w:t xml:space="preserve">, introducidos en la década de 1920, son los más utilizados en el control de vibraciones eólicas en líneas aéreas de transmisión eléctrica. Este absorbedor dinámico comprende un cable portador con una masa en cada extremo y una grapa atornillada que puede fijarse a un conductor o un hilo de guardia, con el propósito de complementar la energía disipada por el cable relacionada con su </w:t>
      </w:r>
      <w:proofErr w:type="spellStart"/>
      <w:r w:rsidRPr="002918EE">
        <w:rPr>
          <w:lang w:val="es-ES"/>
        </w:rPr>
        <w:t>autoamortiguamiento</w:t>
      </w:r>
      <w:proofErr w:type="spellEnd"/>
      <w:r w:rsidRPr="002918EE">
        <w:rPr>
          <w:lang w:val="es-ES"/>
        </w:rPr>
        <w:t xml:space="preserve">. La máxima respuesta de este tipo de </w:t>
      </w:r>
      <w:proofErr w:type="spellStart"/>
      <w:r w:rsidRPr="002918EE">
        <w:rPr>
          <w:lang w:val="es-ES"/>
        </w:rPr>
        <w:t>absorbedores</w:t>
      </w:r>
      <w:proofErr w:type="spellEnd"/>
      <w:r w:rsidRPr="002918EE">
        <w:rPr>
          <w:lang w:val="es-ES"/>
        </w:rPr>
        <w:t xml:space="preserve"> está asociada con las frecuencias de sus distintos modos de oscilación. Las masas se diseñan de tal forma de obtener momentos de inercia y ubicación de su centro de gravedad tales que, con la vibración de la grapa, se exciten sus diversos modos característicos de flexión y torsión. En este trabajo se presenta la calibración de un modelo de elementos finitos no lineal empleando inferencia Bayesiana con el objetivo de evaluar el comportamiento dinámico del amortiguador para todas las frecuencias de excitación y amplitudes de desplazamiento. A tal fin, se planteó un problema inverso en el que las distribuciones de probabilidad de los parámetros de interés se obtienen a partir de la propagación de incertidumbre hacia atrás de las mediciones experimentales realizadas en ensayos de laboratorio. Finalmente, se propagó la incertidumbre del modelo calibrado y se contrastó con los datos experimentales. El modelo desarrollado se constituye en una potente herramienta al momento de definir la cantidad y distribución de los amortiguadores en el vano de una línea</w:t>
      </w:r>
      <w:r w:rsidR="009B4D5F" w:rsidRPr="00FB73A9">
        <w:t>.</w:t>
      </w:r>
    </w:p>
    <w:p w14:paraId="628347A1" w14:textId="77777777" w:rsidR="00845B18" w:rsidRDefault="00845B18" w:rsidP="00FB73A9"/>
    <w:p w14:paraId="70A85AF5" w14:textId="08CEA9CC"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AF6404" w:rsidRPr="00AF6404">
        <w:t xml:space="preserve">vibraciones eólicas; amortiguador </w:t>
      </w:r>
      <w:proofErr w:type="spellStart"/>
      <w:r w:rsidR="00AF6404" w:rsidRPr="00AF6404">
        <w:t>stockbridge</w:t>
      </w:r>
      <w:proofErr w:type="spellEnd"/>
      <w:r w:rsidR="00AF6404" w:rsidRPr="00AF6404">
        <w:t>; calibración bayesiana, problema inverso; propagación de incertidumbre</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19138273" w:rsidR="00E34FCE" w:rsidRDefault="00AF6404" w:rsidP="00FB73A9">
      <w:pPr>
        <w:rPr>
          <w:rStyle w:val="hps"/>
          <w:rFonts w:cs="Times New Roman"/>
          <w:color w:val="000000"/>
          <w:lang w:val="en-GB"/>
        </w:rPr>
      </w:pPr>
      <w:r w:rsidRPr="002918EE">
        <w:rPr>
          <w:lang w:val="en-US"/>
        </w:rPr>
        <w:t>Stockbridge type dampers, introduced in the 1920s, are the most widely used in wind vibration control on overhead power transmission lines. This dynamic absorber comprises a carrier cable with a mass at each end and a bolted clamp that can be attached to a conductor or a guard wire, with the purpose of supplementing the energy dissipated by the cable related to its self-damping. The maximum response of this type of absorbers is associated with the frequencies of its different oscillation modes. The masses are designed in such a way as to obtain moments of inertia and location of their center of gravity such that, with the vibration of the clamp, their various characteristic bending and torsional modes are excited. In this work, the calibration of a nonlinear finite element model using Bayesian inference is presented to evaluate the dynamic behavior of the damper for all excitation frequencies and displacement amplitudes. To this end, an inverse problem was posed in which the probability distributions of the parameters of interest are obtained from backward uncertainty propagation of experimental measurements performed in laboratory tests. Finally, the uncertainty of the calibrated model was propagated and contrasted with the experimental data. The developed model is a powerful tool when defining the quantity and distribution of dampers in the span of a line</w:t>
      </w:r>
      <w:proofErr w:type="gramStart"/>
      <w:r w:rsidRPr="002918EE">
        <w:rPr>
          <w:lang w:val="en-US"/>
        </w:rPr>
        <w:t>.</w:t>
      </w:r>
      <w:r w:rsidR="00032799" w:rsidRPr="005E24A5">
        <w:rPr>
          <w:rStyle w:val="hps"/>
          <w:rFonts w:cs="Times New Roman"/>
          <w:color w:val="000000"/>
          <w:lang w:val="en-GB"/>
        </w:rPr>
        <w:t>.</w:t>
      </w:r>
      <w:proofErr w:type="gramEnd"/>
    </w:p>
    <w:p w14:paraId="615FDBA7" w14:textId="77777777" w:rsidR="00845B18" w:rsidRDefault="00845B18" w:rsidP="00FB73A9">
      <w:pPr>
        <w:rPr>
          <w:rStyle w:val="hps"/>
          <w:rFonts w:cs="Times New Roman"/>
          <w:color w:val="000000"/>
          <w:lang w:val="en-GB"/>
        </w:rPr>
      </w:pPr>
    </w:p>
    <w:p w14:paraId="6FCE943A" w14:textId="29A73A71"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proofErr w:type="spellStart"/>
      <w:r w:rsidR="00AF6404">
        <w:rPr>
          <w:lang w:val="en-US"/>
        </w:rPr>
        <w:t>aeolian</w:t>
      </w:r>
      <w:proofErr w:type="spellEnd"/>
      <w:r w:rsidR="00AF6404">
        <w:rPr>
          <w:lang w:val="en-US"/>
        </w:rPr>
        <w:t xml:space="preserve"> vibrations; </w:t>
      </w:r>
      <w:proofErr w:type="spellStart"/>
      <w:proofErr w:type="gramStart"/>
      <w:r w:rsidR="00AF6404">
        <w:rPr>
          <w:lang w:val="en-US"/>
        </w:rPr>
        <w:t>stockbridge</w:t>
      </w:r>
      <w:proofErr w:type="spellEnd"/>
      <w:proofErr w:type="gramEnd"/>
      <w:r w:rsidR="00AF6404">
        <w:rPr>
          <w:lang w:val="en-US"/>
        </w:rPr>
        <w:t xml:space="preserve"> damper; </w:t>
      </w:r>
      <w:proofErr w:type="spellStart"/>
      <w:r w:rsidR="00AF6404">
        <w:rPr>
          <w:lang w:val="en-US"/>
        </w:rPr>
        <w:t>bayesian</w:t>
      </w:r>
      <w:proofErr w:type="spellEnd"/>
      <w:r w:rsidR="00AF6404">
        <w:rPr>
          <w:lang w:val="en-US"/>
        </w:rPr>
        <w:t xml:space="preserve"> calibration; inverse problem;</w:t>
      </w:r>
      <w:r w:rsidR="00AF6404" w:rsidRPr="00E34FCE">
        <w:rPr>
          <w:lang w:val="en-US"/>
        </w:rPr>
        <w:t xml:space="preserve"> </w:t>
      </w:r>
      <w:r w:rsidR="00AF6404">
        <w:rPr>
          <w:lang w:val="en-US"/>
        </w:rPr>
        <w:t>uncertainty propagation</w:t>
      </w: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157A67FA" w14:textId="77777777" w:rsidR="00AF6404" w:rsidRDefault="00AF6404" w:rsidP="00AF6404">
      <w:pPr>
        <w:suppressAutoHyphens/>
        <w:rPr>
          <w:rFonts w:eastAsia="Times New Roman" w:cs="Times New Roman"/>
          <w:color w:val="00000A"/>
          <w:lang w:val="es-AR" w:eastAsia="pl-PL"/>
        </w:rPr>
      </w:pPr>
      <w:r w:rsidRPr="006D4602">
        <w:rPr>
          <w:rFonts w:eastAsia="Times New Roman" w:cs="Times New Roman"/>
          <w:color w:val="00000A"/>
          <w:lang w:val="es-AR" w:eastAsia="pl-PL"/>
        </w:rPr>
        <w:t xml:space="preserve">Durante la operación de las </w:t>
      </w:r>
      <w:r w:rsidRPr="0069093A">
        <w:rPr>
          <w:rFonts w:eastAsia="Times New Roman" w:cs="Times New Roman"/>
          <w:color w:val="00000A"/>
          <w:lang w:val="es-AR" w:eastAsia="pl-PL"/>
        </w:rPr>
        <w:t xml:space="preserve">líneas </w:t>
      </w:r>
      <w:r>
        <w:rPr>
          <w:rFonts w:eastAsia="Times New Roman" w:cs="Times New Roman"/>
          <w:color w:val="00000A"/>
          <w:lang w:val="es-AR" w:eastAsia="pl-PL"/>
        </w:rPr>
        <w:t xml:space="preserve">áreas </w:t>
      </w:r>
      <w:r w:rsidRPr="0069093A">
        <w:rPr>
          <w:rFonts w:eastAsia="Times New Roman" w:cs="Times New Roman"/>
          <w:color w:val="00000A"/>
          <w:lang w:val="es-AR" w:eastAsia="pl-PL"/>
        </w:rPr>
        <w:t xml:space="preserve">de transmisión eléctrica, </w:t>
      </w:r>
      <w:r>
        <w:rPr>
          <w:rFonts w:eastAsia="Times New Roman" w:cs="Times New Roman"/>
          <w:color w:val="00000A"/>
          <w:lang w:val="es-AR" w:eastAsia="pl-PL"/>
        </w:rPr>
        <w:t>l</w:t>
      </w:r>
      <w:r w:rsidRPr="0069093A">
        <w:rPr>
          <w:rFonts w:eastAsia="Times New Roman" w:cs="Times New Roman"/>
          <w:color w:val="00000A"/>
          <w:lang w:val="es-AR" w:eastAsia="pl-PL"/>
        </w:rPr>
        <w:t>os</w:t>
      </w:r>
      <w:r>
        <w:rPr>
          <w:rFonts w:eastAsia="Times New Roman" w:cs="Times New Roman"/>
          <w:color w:val="00000A"/>
          <w:lang w:val="es-AR" w:eastAsia="pl-PL"/>
        </w:rPr>
        <w:t xml:space="preserve"> </w:t>
      </w:r>
      <w:r w:rsidRPr="0069093A">
        <w:rPr>
          <w:rFonts w:eastAsia="Times New Roman" w:cs="Times New Roman"/>
          <w:color w:val="00000A"/>
          <w:lang w:val="es-AR" w:eastAsia="pl-PL"/>
        </w:rPr>
        <w:t>conductores</w:t>
      </w:r>
      <w:r>
        <w:rPr>
          <w:rFonts w:eastAsia="Times New Roman" w:cs="Times New Roman"/>
          <w:color w:val="00000A"/>
          <w:lang w:val="es-AR" w:eastAsia="pl-PL"/>
        </w:rPr>
        <w:t xml:space="preserve"> e hilos de guardia</w:t>
      </w:r>
      <w:r w:rsidRPr="0069093A">
        <w:rPr>
          <w:rFonts w:eastAsia="Times New Roman" w:cs="Times New Roman"/>
          <w:color w:val="00000A"/>
          <w:lang w:val="es-AR" w:eastAsia="pl-PL"/>
        </w:rPr>
        <w:t xml:space="preserve"> están sometidos a distintos tipos de vibraciones mecánicas</w:t>
      </w:r>
      <w:r w:rsidRPr="006D4602">
        <w:t xml:space="preserve"> </w:t>
      </w:r>
      <w:r w:rsidRPr="006D4602">
        <w:rPr>
          <w:rFonts w:eastAsia="Times New Roman" w:cs="Times New Roman"/>
          <w:color w:val="00000A"/>
          <w:lang w:val="es-AR" w:eastAsia="pl-PL"/>
        </w:rPr>
        <w:t xml:space="preserve">como ser: </w:t>
      </w:r>
      <w:proofErr w:type="spellStart"/>
      <w:r w:rsidRPr="006D4602">
        <w:rPr>
          <w:rFonts w:eastAsia="Times New Roman" w:cs="Times New Roman"/>
          <w:i/>
          <w:iCs/>
          <w:color w:val="00000A"/>
          <w:lang w:val="es-AR" w:eastAsia="pl-PL"/>
        </w:rPr>
        <w:t>galloping</w:t>
      </w:r>
      <w:proofErr w:type="spellEnd"/>
      <w:r w:rsidRPr="006D4602">
        <w:rPr>
          <w:rFonts w:eastAsia="Times New Roman" w:cs="Times New Roman"/>
          <w:color w:val="00000A"/>
          <w:lang w:val="es-AR" w:eastAsia="pl-PL"/>
        </w:rPr>
        <w:t xml:space="preserve">, eólicas, y para el caso de haces de conductores, se incluyen las oscilaciones de </w:t>
      </w:r>
      <w:proofErr w:type="spellStart"/>
      <w:r w:rsidRPr="006D4602">
        <w:rPr>
          <w:rFonts w:eastAsia="Times New Roman" w:cs="Times New Roman"/>
          <w:color w:val="00000A"/>
          <w:lang w:val="es-AR" w:eastAsia="pl-PL"/>
        </w:rPr>
        <w:t>subvano</w:t>
      </w:r>
      <w:proofErr w:type="spellEnd"/>
      <w:r>
        <w:rPr>
          <w:rFonts w:eastAsia="Times New Roman" w:cs="Times New Roman"/>
          <w:color w:val="00000A"/>
          <w:lang w:val="es-AR" w:eastAsia="pl-PL"/>
        </w:rPr>
        <w:t xml:space="preserve"> [1</w:t>
      </w:r>
      <w:r>
        <w:rPr>
          <w:rFonts w:eastAsia="Times New Roman" w:cs="Times New Roman"/>
          <w:color w:val="000000"/>
          <w:lang w:val="es-AR" w:eastAsia="pl-PL"/>
        </w:rPr>
        <w:t>]</w:t>
      </w:r>
      <w:r w:rsidRPr="0069093A">
        <w:rPr>
          <w:rFonts w:eastAsia="Times New Roman" w:cs="Times New Roman"/>
          <w:color w:val="00000A"/>
          <w:lang w:val="es-AR" w:eastAsia="pl-PL"/>
        </w:rPr>
        <w:t>. Las de mayor criticidad son las denominadas vibraciones eólicas</w:t>
      </w:r>
      <w:r>
        <w:rPr>
          <w:rFonts w:eastAsia="Times New Roman" w:cs="Times New Roman"/>
          <w:color w:val="00000A"/>
          <w:lang w:val="es-AR" w:eastAsia="pl-PL"/>
        </w:rPr>
        <w:t xml:space="preserve">, y </w:t>
      </w:r>
      <w:r w:rsidRPr="006D4602">
        <w:rPr>
          <w:rFonts w:eastAsia="Times New Roman" w:cs="Times New Roman"/>
          <w:color w:val="00000A"/>
          <w:lang w:val="es-AR" w:eastAsia="pl-PL"/>
        </w:rPr>
        <w:t xml:space="preserve">son generadas por los denominados vórtices de Von </w:t>
      </w:r>
      <w:proofErr w:type="spellStart"/>
      <w:r w:rsidRPr="006D4602">
        <w:rPr>
          <w:rFonts w:eastAsia="Times New Roman" w:cs="Times New Roman"/>
          <w:color w:val="00000A"/>
          <w:lang w:val="es-AR" w:eastAsia="pl-PL"/>
        </w:rPr>
        <w:t>Karman</w:t>
      </w:r>
      <w:proofErr w:type="spellEnd"/>
      <w:r w:rsidRPr="006D4602">
        <w:rPr>
          <w:rFonts w:eastAsia="Times New Roman" w:cs="Times New Roman"/>
          <w:color w:val="00000A"/>
          <w:lang w:val="es-AR" w:eastAsia="pl-PL"/>
        </w:rPr>
        <w:t>, cuyo desprendimiento inducen las vibraciones señaladas, que se manifiestan en el rango de 3 a 100 Hz</w:t>
      </w:r>
      <w:r>
        <w:rPr>
          <w:rFonts w:eastAsia="Times New Roman" w:cs="Times New Roman"/>
          <w:color w:val="00000A"/>
          <w:lang w:val="es-AR" w:eastAsia="pl-PL"/>
        </w:rPr>
        <w:t xml:space="preserve"> [2</w:t>
      </w:r>
      <w:r>
        <w:rPr>
          <w:rFonts w:eastAsia="Times New Roman" w:cs="Times New Roman"/>
          <w:color w:val="000000"/>
          <w:lang w:val="es-AR" w:eastAsia="pl-PL"/>
        </w:rPr>
        <w:t>]</w:t>
      </w:r>
      <w:r w:rsidRPr="006D4602">
        <w:rPr>
          <w:rFonts w:eastAsia="Times New Roman" w:cs="Times New Roman"/>
          <w:color w:val="00000A"/>
          <w:lang w:val="es-AR" w:eastAsia="pl-PL"/>
        </w:rPr>
        <w:t xml:space="preserve">. </w:t>
      </w:r>
      <w:r w:rsidRPr="00327871">
        <w:rPr>
          <w:rFonts w:eastAsia="Times New Roman" w:cs="Times New Roman"/>
          <w:color w:val="00000A"/>
          <w:lang w:val="es-AR" w:eastAsia="pl-PL"/>
        </w:rPr>
        <w:t xml:space="preserve">Este fenómeno se constituye en uno de los problemas más importantes, en líneas de transmisión, dado que representa la mayor causa </w:t>
      </w:r>
      <w:r>
        <w:rPr>
          <w:rFonts w:eastAsia="Times New Roman" w:cs="Times New Roman"/>
          <w:color w:val="00000A"/>
          <w:lang w:val="es-AR" w:eastAsia="pl-PL"/>
        </w:rPr>
        <w:t>de fallas por</w:t>
      </w:r>
      <w:r w:rsidRPr="00327871">
        <w:rPr>
          <w:rFonts w:eastAsia="Times New Roman" w:cs="Times New Roman"/>
          <w:color w:val="00000A"/>
          <w:lang w:val="es-AR" w:eastAsia="pl-PL"/>
        </w:rPr>
        <w:t xml:space="preserve"> fatiga en los hilos de los cables o de accesorios de soporte, uso y protección. Generalmente las mismas se producen en correspondencia con las grapas de suspensión o en las grapas de sujeción de los amortiguadores</w:t>
      </w:r>
      <w:r>
        <w:rPr>
          <w:rFonts w:eastAsia="Times New Roman" w:cs="Times New Roman"/>
          <w:color w:val="00000A"/>
          <w:lang w:val="es-AR" w:eastAsia="pl-PL"/>
        </w:rPr>
        <w:t>, dado que en efecto estas zonas se constituyen en un</w:t>
      </w:r>
      <w:r w:rsidRPr="006D4602">
        <w:rPr>
          <w:rFonts w:eastAsia="Times New Roman" w:cs="Times New Roman"/>
          <w:color w:val="00000A"/>
          <w:lang w:val="es-AR" w:eastAsia="pl-PL"/>
        </w:rPr>
        <w:t xml:space="preserve"> </w:t>
      </w:r>
      <w:proofErr w:type="spellStart"/>
      <w:r w:rsidRPr="006D4602">
        <w:rPr>
          <w:rFonts w:eastAsia="Times New Roman" w:cs="Times New Roman"/>
          <w:color w:val="00000A"/>
          <w:lang w:val="es-AR" w:eastAsia="pl-PL"/>
        </w:rPr>
        <w:t>pseudo</w:t>
      </w:r>
      <w:proofErr w:type="spellEnd"/>
      <w:r>
        <w:rPr>
          <w:rFonts w:eastAsia="Times New Roman" w:cs="Times New Roman"/>
          <w:color w:val="00000A"/>
          <w:lang w:val="es-AR" w:eastAsia="pl-PL"/>
        </w:rPr>
        <w:t>-</w:t>
      </w:r>
      <w:r w:rsidRPr="006D4602">
        <w:rPr>
          <w:rFonts w:eastAsia="Times New Roman" w:cs="Times New Roman"/>
          <w:color w:val="00000A"/>
          <w:lang w:val="es-AR" w:eastAsia="pl-PL"/>
        </w:rPr>
        <w:t xml:space="preserve">empotramiento que restringe el movimiento libre del </w:t>
      </w:r>
      <w:r>
        <w:rPr>
          <w:rFonts w:eastAsia="Times New Roman" w:cs="Times New Roman"/>
          <w:color w:val="00000A"/>
          <w:lang w:val="es-AR" w:eastAsia="pl-PL"/>
        </w:rPr>
        <w:t>cable generando</w:t>
      </w:r>
      <w:r w:rsidRPr="006D4602">
        <w:rPr>
          <w:rFonts w:eastAsia="Times New Roman" w:cs="Times New Roman"/>
          <w:color w:val="00000A"/>
          <w:lang w:val="es-AR" w:eastAsia="pl-PL"/>
        </w:rPr>
        <w:t xml:space="preserve"> elevadas tensiones normales por flexión </w:t>
      </w:r>
      <w:r w:rsidRPr="00D772AE">
        <w:rPr>
          <w:rFonts w:eastAsia="Times New Roman" w:cs="Times New Roman"/>
          <w:color w:val="00000A"/>
          <w:lang w:val="es-AR" w:eastAsia="pl-PL"/>
        </w:rPr>
        <w:t>alternativa.</w:t>
      </w:r>
      <w:r w:rsidRPr="006D4602">
        <w:rPr>
          <w:rFonts w:eastAsia="Times New Roman" w:cs="Times New Roman"/>
          <w:color w:val="00000A"/>
          <w:lang w:val="es-AR" w:eastAsia="pl-PL"/>
        </w:rPr>
        <w:t xml:space="preserve"> </w:t>
      </w:r>
    </w:p>
    <w:p w14:paraId="13F3AA6E" w14:textId="77777777" w:rsidR="00AF6404" w:rsidRDefault="00AF6404" w:rsidP="00AF6404">
      <w:pPr>
        <w:suppressAutoHyphens/>
        <w:rPr>
          <w:rFonts w:eastAsia="Times New Roman" w:cs="Times New Roman"/>
          <w:color w:val="00000A"/>
          <w:lang w:val="es-AR" w:eastAsia="pl-PL"/>
        </w:rPr>
      </w:pPr>
      <w:r w:rsidRPr="0069093A">
        <w:rPr>
          <w:rFonts w:eastAsia="Times New Roman" w:cs="Times New Roman"/>
          <w:color w:val="00000A"/>
          <w:lang w:val="es-AR" w:eastAsia="pl-PL"/>
        </w:rPr>
        <w:t xml:space="preserve">Debido a las altas inversiones de capital comprometidas en los proyectos de </w:t>
      </w:r>
      <w:r>
        <w:rPr>
          <w:rFonts w:eastAsia="Times New Roman" w:cs="Times New Roman"/>
          <w:color w:val="00000A"/>
          <w:lang w:val="es-AR" w:eastAsia="pl-PL"/>
        </w:rPr>
        <w:t xml:space="preserve">las </w:t>
      </w:r>
      <w:r w:rsidRPr="0069093A">
        <w:rPr>
          <w:rFonts w:eastAsia="Times New Roman" w:cs="Times New Roman"/>
          <w:color w:val="00000A"/>
          <w:lang w:val="es-AR" w:eastAsia="pl-PL"/>
        </w:rPr>
        <w:t xml:space="preserve">líneas, se requiere prestar especial atención a los efectos que pueden ocasionar las vibraciones sobre los </w:t>
      </w:r>
      <w:r>
        <w:rPr>
          <w:rFonts w:eastAsia="Times New Roman" w:cs="Times New Roman"/>
          <w:color w:val="00000A"/>
          <w:lang w:val="es-AR" w:eastAsia="pl-PL"/>
        </w:rPr>
        <w:t>cables</w:t>
      </w:r>
      <w:r w:rsidRPr="0069093A">
        <w:rPr>
          <w:rFonts w:eastAsia="Times New Roman" w:cs="Times New Roman"/>
          <w:color w:val="00000A"/>
          <w:lang w:val="es-AR" w:eastAsia="pl-PL"/>
        </w:rPr>
        <w:t xml:space="preserve">. </w:t>
      </w:r>
      <w:r>
        <w:rPr>
          <w:rFonts w:eastAsia="Times New Roman" w:cs="Times New Roman"/>
          <w:color w:val="00000A"/>
          <w:lang w:val="es-AR" w:eastAsia="pl-PL"/>
        </w:rPr>
        <w:t>Con el objetivo de atenuar estos efectos nocivos y prevenir probables fallas, es necesario reducir dentro de límites tolerables, las amplitudes de las vibraciones y las solicitaciones dinámicas, lo cual se consigue aumentando el amortiguamiento del sistema. E</w:t>
      </w:r>
      <w:r w:rsidRPr="00F372D1">
        <w:rPr>
          <w:rFonts w:eastAsia="Times New Roman" w:cs="Times New Roman"/>
          <w:color w:val="00000A"/>
          <w:lang w:val="es-AR" w:eastAsia="pl-PL"/>
        </w:rPr>
        <w:t xml:space="preserve">n la Figura 1 se puede apreciar una instalación típica del sistema </w:t>
      </w:r>
      <w:proofErr w:type="spellStart"/>
      <w:r w:rsidRPr="00F372D1">
        <w:rPr>
          <w:rFonts w:eastAsia="Times New Roman" w:cs="Times New Roman"/>
          <w:color w:val="00000A"/>
          <w:lang w:val="es-AR" w:eastAsia="pl-PL"/>
        </w:rPr>
        <w:t>amortiguante</w:t>
      </w:r>
      <w:proofErr w:type="spellEnd"/>
      <w:r w:rsidRPr="00F372D1">
        <w:rPr>
          <w:rFonts w:eastAsia="Times New Roman" w:cs="Times New Roman"/>
          <w:color w:val="00000A"/>
          <w:lang w:val="es-AR" w:eastAsia="pl-PL"/>
        </w:rPr>
        <w:t xml:space="preserve"> en un hilo de guardia</w:t>
      </w:r>
      <w:r>
        <w:rPr>
          <w:rFonts w:eastAsia="Times New Roman" w:cs="Times New Roman"/>
          <w:color w:val="00000A"/>
          <w:lang w:val="es-AR" w:eastAsia="pl-PL"/>
        </w:rPr>
        <w:t>.</w:t>
      </w:r>
    </w:p>
    <w:p w14:paraId="05DDF1D1" w14:textId="77777777" w:rsidR="00AF6404" w:rsidRDefault="00AF6404" w:rsidP="00AF6404">
      <w:pPr>
        <w:suppressAutoHyphens/>
        <w:rPr>
          <w:rFonts w:eastAsia="Times New Roman" w:cs="Times New Roman"/>
          <w:color w:val="00000A"/>
          <w:lang w:val="es-AR" w:eastAsia="pl-PL"/>
        </w:rPr>
      </w:pPr>
      <w:r>
        <w:rPr>
          <w:rFonts w:eastAsia="Times New Roman" w:cs="Times New Roman"/>
          <w:color w:val="00000A"/>
          <w:lang w:val="es-AR" w:eastAsia="pl-PL"/>
        </w:rPr>
        <w:t>En este sentido, a</w:t>
      </w:r>
      <w:r w:rsidRPr="0069093A">
        <w:rPr>
          <w:rFonts w:eastAsia="Times New Roman" w:cs="Times New Roman"/>
          <w:color w:val="00000A"/>
          <w:lang w:val="es-AR" w:eastAsia="pl-PL"/>
        </w:rPr>
        <w:t xml:space="preserve"> partir de</w:t>
      </w:r>
      <w:r>
        <w:rPr>
          <w:rFonts w:eastAsia="Times New Roman" w:cs="Times New Roman"/>
          <w:color w:val="00000A"/>
          <w:lang w:val="es-AR" w:eastAsia="pl-PL"/>
        </w:rPr>
        <w:t xml:space="preserve"> su invención en el </w:t>
      </w:r>
      <w:r w:rsidRPr="00A031B1">
        <w:rPr>
          <w:rFonts w:eastAsia="Times New Roman" w:cs="Times New Roman"/>
          <w:color w:val="00000A"/>
          <w:lang w:val="es-AR" w:eastAsia="pl-PL"/>
        </w:rPr>
        <w:t>año 1925</w:t>
      </w:r>
      <w:r w:rsidRPr="0069093A">
        <w:rPr>
          <w:rFonts w:eastAsia="Times New Roman" w:cs="Times New Roman"/>
          <w:color w:val="00000A"/>
          <w:lang w:val="es-AR" w:eastAsia="pl-PL"/>
        </w:rPr>
        <w:t xml:space="preserve">, el amortiguador tipo </w:t>
      </w:r>
      <w:proofErr w:type="spellStart"/>
      <w:r w:rsidRPr="0069093A">
        <w:rPr>
          <w:rFonts w:eastAsia="Times New Roman" w:cs="Times New Roman"/>
          <w:color w:val="00000A"/>
          <w:lang w:val="es-AR" w:eastAsia="pl-PL"/>
        </w:rPr>
        <w:t>Stockbridge</w:t>
      </w:r>
      <w:proofErr w:type="spellEnd"/>
      <w:r w:rsidRPr="0069093A">
        <w:rPr>
          <w:rFonts w:eastAsia="Times New Roman" w:cs="Times New Roman"/>
          <w:color w:val="00000A"/>
          <w:lang w:val="es-AR" w:eastAsia="pl-PL"/>
        </w:rPr>
        <w:t xml:space="preserve"> ha sido utilizado exitosamente para </w:t>
      </w:r>
      <w:r>
        <w:rPr>
          <w:rFonts w:eastAsia="Times New Roman" w:cs="Times New Roman"/>
          <w:color w:val="00000A"/>
          <w:lang w:val="es-AR" w:eastAsia="pl-PL"/>
        </w:rPr>
        <w:t>mitig</w:t>
      </w:r>
      <w:r w:rsidRPr="0069093A">
        <w:rPr>
          <w:rFonts w:eastAsia="Times New Roman" w:cs="Times New Roman"/>
          <w:color w:val="00000A"/>
          <w:lang w:val="es-AR" w:eastAsia="pl-PL"/>
        </w:rPr>
        <w:t xml:space="preserve">ar </w:t>
      </w:r>
      <w:r>
        <w:rPr>
          <w:rFonts w:eastAsia="Times New Roman" w:cs="Times New Roman"/>
          <w:color w:val="00000A"/>
          <w:lang w:val="es-AR" w:eastAsia="pl-PL"/>
        </w:rPr>
        <w:t>el efecto de las</w:t>
      </w:r>
      <w:r w:rsidRPr="0069093A">
        <w:rPr>
          <w:rFonts w:eastAsia="Times New Roman" w:cs="Times New Roman"/>
          <w:color w:val="00000A"/>
          <w:lang w:val="es-AR" w:eastAsia="pl-PL"/>
        </w:rPr>
        <w:t xml:space="preserve"> vibraciones</w:t>
      </w:r>
      <w:r>
        <w:rPr>
          <w:rFonts w:eastAsia="Times New Roman" w:cs="Times New Roman"/>
          <w:color w:val="00000A"/>
          <w:lang w:val="es-AR" w:eastAsia="pl-PL"/>
        </w:rPr>
        <w:t xml:space="preserve"> eólicas</w:t>
      </w:r>
      <w:r w:rsidRPr="00220524">
        <w:rPr>
          <w:rFonts w:eastAsia="Times New Roman" w:cs="Times New Roman"/>
          <w:color w:val="00000A"/>
          <w:lang w:val="es-AR" w:eastAsia="pl-PL"/>
        </w:rPr>
        <w:t>.</w:t>
      </w:r>
    </w:p>
    <w:p w14:paraId="2E9286B7" w14:textId="77777777" w:rsidR="00AF6404" w:rsidRDefault="00AF6404" w:rsidP="00AF6404">
      <w:pPr>
        <w:suppressAutoHyphens/>
      </w:pPr>
    </w:p>
    <w:p w14:paraId="4646DF44" w14:textId="77777777" w:rsidR="00AF6404" w:rsidRDefault="00AF6404" w:rsidP="00AF6404">
      <w:pPr>
        <w:keepNext/>
        <w:suppressAutoHyphens/>
      </w:pPr>
      <w:r>
        <w:rPr>
          <w:noProof/>
          <w:lang w:val="es-AR" w:eastAsia="es-AR"/>
        </w:rPr>
        <w:drawing>
          <wp:inline distT="0" distB="0" distL="0" distR="0" wp14:anchorId="71F4EC35" wp14:editId="5C1698D9">
            <wp:extent cx="2773045" cy="2057400"/>
            <wp:effectExtent l="0" t="0" r="8255" b="0"/>
            <wp:docPr id="20" name="Imagen 20" descr="Avión en el des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vión en el desier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773045" cy="2057400"/>
                    </a:xfrm>
                    <a:prstGeom prst="rect">
                      <a:avLst/>
                    </a:prstGeom>
                  </pic:spPr>
                </pic:pic>
              </a:graphicData>
            </a:graphic>
          </wp:inline>
        </w:drawing>
      </w:r>
    </w:p>
    <w:p w14:paraId="27F003CE" w14:textId="77777777" w:rsidR="00AF6404" w:rsidRPr="007317E8" w:rsidRDefault="00AF6404" w:rsidP="00AF6404">
      <w:pPr>
        <w:pStyle w:val="Epgrafe"/>
      </w:pPr>
      <w:bookmarkStart w:id="1" w:name="_Hlk112328321"/>
      <w:r w:rsidRPr="007317E8">
        <w:t xml:space="preserve">Figura </w:t>
      </w:r>
      <w:fldSimple w:instr=" SEQ Figura \* ARABIC ">
        <w:r>
          <w:rPr>
            <w:noProof/>
          </w:rPr>
          <w:t>1</w:t>
        </w:r>
      </w:fldSimple>
      <w:r w:rsidRPr="007317E8">
        <w:t xml:space="preserve">. Detalle </w:t>
      </w:r>
      <w:bookmarkEnd w:id="1"/>
      <w:r w:rsidRPr="007317E8">
        <w:t xml:space="preserve">de instalación de amortiguadores tipo </w:t>
      </w:r>
      <w:proofErr w:type="spellStart"/>
      <w:r w:rsidRPr="007317E8">
        <w:t>Stockbridge</w:t>
      </w:r>
      <w:proofErr w:type="spellEnd"/>
      <w:r w:rsidRPr="007317E8">
        <w:t xml:space="preserve"> en un hilo de guardia de una línea área de transmisión eléctrica en muy alta tensión, con daño en el preformado y el cable. Fuente: elaboración propia. </w:t>
      </w:r>
    </w:p>
    <w:p w14:paraId="3DCEAFFB" w14:textId="3AB63AC0" w:rsidR="00AF6404" w:rsidRDefault="00AF6404" w:rsidP="00AF6404">
      <w:pPr>
        <w:suppressAutoHyphens/>
      </w:pPr>
      <w:r>
        <w:lastRenderedPageBreak/>
        <w:t xml:space="preserve">Por lo expuesto, se torna imprescindible que </w:t>
      </w:r>
      <w:r w:rsidRPr="00E74E65">
        <w:t>las características dinámicas del c</w:t>
      </w:r>
      <w:r>
        <w:t xml:space="preserve">able </w:t>
      </w:r>
      <w:r w:rsidRPr="00E74E65">
        <w:t xml:space="preserve">y el amortiguador </w:t>
      </w:r>
      <w:r>
        <w:t>sea</w:t>
      </w:r>
      <w:r w:rsidRPr="00E74E65">
        <w:t>n</w:t>
      </w:r>
      <w:r>
        <w:t xml:space="preserve"> c</w:t>
      </w:r>
      <w:r w:rsidRPr="00E74E65">
        <w:t>orrectamente compatibilizadas. Por ello se debe prestar especial atención a los modelos utilizados para predecir y analizar este tipo de problemas.</w:t>
      </w:r>
      <w:r>
        <w:t xml:space="preserve"> Dado</w:t>
      </w:r>
      <w:r w:rsidRPr="00D87F4D">
        <w:t xml:space="preserve"> que la</w:t>
      </w:r>
      <w:r w:rsidRPr="0047691B">
        <w:t xml:space="preserve"> respuesta dinámica de este abs</w:t>
      </w:r>
      <w:r w:rsidR="00A528F4">
        <w:t>orbedor es no lineal e histerética</w:t>
      </w:r>
      <w:r w:rsidRPr="0047691B">
        <w:t xml:space="preserve">, </w:t>
      </w:r>
      <w:r w:rsidRPr="00D87F4D">
        <w:t>producto de</w:t>
      </w:r>
      <w:r>
        <w:t xml:space="preserve"> </w:t>
      </w:r>
      <w:r w:rsidRPr="00D87F4D">
        <w:t>l</w:t>
      </w:r>
      <w:r>
        <w:t>a</w:t>
      </w:r>
      <w:r w:rsidRPr="0047691B">
        <w:t xml:space="preserve"> singular</w:t>
      </w:r>
      <w:r>
        <w:t xml:space="preserve"> interacción entre los hilos </w:t>
      </w:r>
      <w:r w:rsidRPr="0047691B">
        <w:t>del cable mensajero</w:t>
      </w:r>
      <w:r>
        <w:t>, se han desarrollado diversos modelos de complejidad creciente. Desde un análisis simplificado de mecánica lineal clásica hasta modelos de elementos finitos tridimensionales</w:t>
      </w:r>
      <w:r>
        <w:rPr>
          <w:color w:val="000000"/>
        </w:rPr>
        <w:t xml:space="preserve"> </w:t>
      </w:r>
      <w:r>
        <w:rPr>
          <w:rFonts w:eastAsia="Times New Roman" w:cs="Times New Roman"/>
          <w:color w:val="00000A"/>
          <w:lang w:val="es-AR" w:eastAsia="pl-PL"/>
        </w:rPr>
        <w:t>[3</w:t>
      </w:r>
      <w:r>
        <w:rPr>
          <w:rFonts w:eastAsia="Times New Roman" w:cs="Times New Roman"/>
          <w:color w:val="000000"/>
          <w:lang w:val="es-AR" w:eastAsia="pl-PL"/>
        </w:rPr>
        <w:t>]</w:t>
      </w:r>
      <w:r>
        <w:rPr>
          <w:color w:val="000000"/>
        </w:rPr>
        <w:t>.</w:t>
      </w:r>
    </w:p>
    <w:p w14:paraId="3D42083A" w14:textId="09F45AAE" w:rsidR="00AF6404" w:rsidRDefault="00AF6404" w:rsidP="00AF6404">
      <w:pPr>
        <w:suppressAutoHyphens/>
        <w:rPr>
          <w:lang w:val="es-AR"/>
        </w:rPr>
      </w:pPr>
      <w:r>
        <w:t xml:space="preserve">Con el objetivo de analizar el sistema cable-amortiguador, </w:t>
      </w:r>
      <w:r w:rsidRPr="008945BF">
        <w:rPr>
          <w:lang w:val="es-AR"/>
        </w:rPr>
        <w:t>Barry</w:t>
      </w:r>
      <w:r w:rsidRPr="008945BF">
        <w:rPr>
          <w:lang w:val="es-ES"/>
        </w:rPr>
        <w:t xml:space="preserve"> </w:t>
      </w:r>
      <w:r w:rsidR="00990B89">
        <w:rPr>
          <w:rFonts w:eastAsia="Times New Roman" w:cs="Times New Roman"/>
          <w:color w:val="00000A"/>
          <w:lang w:val="es-AR" w:eastAsia="pl-PL"/>
        </w:rPr>
        <w:t>[4</w:t>
      </w:r>
      <w:r w:rsidR="00990B89">
        <w:rPr>
          <w:rFonts w:eastAsia="Times New Roman" w:cs="Times New Roman"/>
          <w:color w:val="000000"/>
          <w:lang w:val="es-AR" w:eastAsia="pl-PL"/>
        </w:rPr>
        <w:t>]</w:t>
      </w:r>
      <w:r w:rsidR="00990B89">
        <w:rPr>
          <w:color w:val="000000"/>
          <w:lang w:val="es-AR"/>
        </w:rPr>
        <w:t xml:space="preserve"> </w:t>
      </w:r>
      <w:r w:rsidRPr="008945BF">
        <w:rPr>
          <w:lang w:val="es-ES"/>
        </w:rPr>
        <w:t>desarrolló</w:t>
      </w:r>
      <w:r>
        <w:rPr>
          <w:lang w:val="es-ES"/>
        </w:rPr>
        <w:t xml:space="preserve"> en primer término </w:t>
      </w:r>
      <w:r>
        <w:rPr>
          <w:lang w:val="es-AR"/>
        </w:rPr>
        <w:t>un</w:t>
      </w:r>
      <w:r w:rsidRPr="008945BF">
        <w:rPr>
          <w:lang w:val="es-AR"/>
        </w:rPr>
        <w:t xml:space="preserve"> modelo</w:t>
      </w:r>
      <w:r>
        <w:rPr>
          <w:lang w:val="es-AR"/>
        </w:rPr>
        <w:t xml:space="preserve"> </w:t>
      </w:r>
      <w:r w:rsidRPr="008945BF">
        <w:rPr>
          <w:lang w:val="es-AR"/>
        </w:rPr>
        <w:t>analítico</w:t>
      </w:r>
      <w:r>
        <w:rPr>
          <w:color w:val="000000"/>
          <w:lang w:val="es-AR"/>
        </w:rPr>
        <w:t xml:space="preserve"> en el cual el cable </w:t>
      </w:r>
      <w:r w:rsidRPr="008945BF">
        <w:rPr>
          <w:lang w:val="es-AR"/>
        </w:rPr>
        <w:t xml:space="preserve">se modela como una viga sometida a una carga axial y el amortiguador se reduce a un sistema discreto equivalente masa-resorte </w:t>
      </w:r>
      <w:r>
        <w:rPr>
          <w:lang w:val="es-AR"/>
        </w:rPr>
        <w:t>con un</w:t>
      </w:r>
      <w:r w:rsidRPr="008945BF">
        <w:rPr>
          <w:lang w:val="es-AR"/>
        </w:rPr>
        <w:t xml:space="preserve"> coeficiente de amortiguación viscoso. </w:t>
      </w:r>
      <w:r>
        <w:rPr>
          <w:lang w:val="es-AR"/>
        </w:rPr>
        <w:t xml:space="preserve"> Un </w:t>
      </w:r>
      <w:r w:rsidRPr="008945BF">
        <w:rPr>
          <w:lang w:val="es-AR"/>
        </w:rPr>
        <w:t xml:space="preserve">modelo </w:t>
      </w:r>
      <w:r>
        <w:rPr>
          <w:lang w:val="es-AR"/>
        </w:rPr>
        <w:t>posterior</w:t>
      </w:r>
      <w:r>
        <w:rPr>
          <w:color w:val="000000"/>
          <w:lang w:val="es-AR"/>
        </w:rPr>
        <w:t xml:space="preserve"> </w:t>
      </w:r>
      <w:r>
        <w:rPr>
          <w:rFonts w:eastAsia="Times New Roman" w:cs="Times New Roman"/>
          <w:color w:val="00000A"/>
          <w:lang w:val="es-AR" w:eastAsia="pl-PL"/>
        </w:rPr>
        <w:t>[5</w:t>
      </w:r>
      <w:r>
        <w:rPr>
          <w:rFonts w:eastAsia="Times New Roman" w:cs="Times New Roman"/>
          <w:color w:val="000000"/>
          <w:lang w:val="es-AR" w:eastAsia="pl-PL"/>
        </w:rPr>
        <w:t>]</w:t>
      </w:r>
      <w:r w:rsidRPr="005D1FD3">
        <w:rPr>
          <w:rFonts w:eastAsia="Times New Roman" w:cs="Times New Roman"/>
          <w:color w:val="00000A"/>
          <w:lang w:val="es-AR" w:eastAsia="pl-PL"/>
        </w:rPr>
        <w:t xml:space="preserve"> </w:t>
      </w:r>
      <w:r>
        <w:rPr>
          <w:rFonts w:eastAsia="Times New Roman" w:cs="Times New Roman"/>
          <w:color w:val="00000A"/>
          <w:lang w:val="es-AR" w:eastAsia="pl-PL"/>
        </w:rPr>
        <w:t>[6</w:t>
      </w:r>
      <w:r>
        <w:rPr>
          <w:rFonts w:eastAsia="Times New Roman" w:cs="Times New Roman"/>
          <w:color w:val="000000"/>
          <w:lang w:val="es-AR" w:eastAsia="pl-PL"/>
        </w:rPr>
        <w:t>]</w:t>
      </w:r>
      <w:r>
        <w:rPr>
          <w:lang w:val="es-AR"/>
        </w:rPr>
        <w:t xml:space="preserve">, </w:t>
      </w:r>
      <w:r w:rsidRPr="008945BF">
        <w:rPr>
          <w:lang w:val="es-AR"/>
        </w:rPr>
        <w:t>se basa en un concepto de doble viga, siendo la viga principal una representación del cable</w:t>
      </w:r>
      <w:r>
        <w:rPr>
          <w:lang w:val="es-AR"/>
        </w:rPr>
        <w:t xml:space="preserve"> y</w:t>
      </w:r>
      <w:r w:rsidRPr="008945BF">
        <w:rPr>
          <w:lang w:val="es-AR"/>
        </w:rPr>
        <w:t xml:space="preserve"> el absorbedor se modela como una viga en el vano con una masa rígida adosada en cada extremo</w:t>
      </w:r>
      <w:r>
        <w:rPr>
          <w:lang w:val="es-AR"/>
        </w:rPr>
        <w:t>. En este caso, la no linealidad se relaciona con la deformación geométrica y el coeficiente de amortiguamiento del cable mensajero</w:t>
      </w:r>
      <w:r w:rsidRPr="008945BF">
        <w:rPr>
          <w:lang w:val="es-AR"/>
        </w:rPr>
        <w:t>. A partir de la aplicación del principio de Hamilton, el autor deduce las ecuaciones de movimiento y las condiciones de contorno. Complementariamente,</w:t>
      </w:r>
      <w:r>
        <w:rPr>
          <w:lang w:val="es-AR"/>
        </w:rPr>
        <w:t xml:space="preserve"> para validar los modelos propuestos,</w:t>
      </w:r>
      <w:r w:rsidRPr="008945BF">
        <w:rPr>
          <w:lang w:val="es-AR"/>
        </w:rPr>
        <w:t xml:space="preserve"> realizó experimentos para determinar un coeficiente de amortiguación equivalente,</w:t>
      </w:r>
      <w:r>
        <w:rPr>
          <w:lang w:val="es-AR"/>
        </w:rPr>
        <w:t xml:space="preserve"> </w:t>
      </w:r>
      <w:r w:rsidRPr="008945BF">
        <w:rPr>
          <w:lang w:val="es-AR"/>
        </w:rPr>
        <w:t>el coeficiente de auto</w:t>
      </w:r>
      <w:r>
        <w:rPr>
          <w:lang w:val="es-AR"/>
        </w:rPr>
        <w:t>-</w:t>
      </w:r>
      <w:r w:rsidRPr="008945BF">
        <w:rPr>
          <w:lang w:val="es-AR"/>
        </w:rPr>
        <w:t>amortiguamiento del cable, las frecuencias naturales y la respuesta del cable con y sin amortiguador. En conclusión, el primer modelo es más simple y fácil de implementar sin grandes costos de cálculo, pero</w:t>
      </w:r>
      <w:r>
        <w:rPr>
          <w:lang w:val="es-AR"/>
        </w:rPr>
        <w:t xml:space="preserve"> brinda</w:t>
      </w:r>
      <w:r w:rsidRPr="008945BF">
        <w:rPr>
          <w:lang w:val="es-AR"/>
        </w:rPr>
        <w:t xml:space="preserve"> una predicción </w:t>
      </w:r>
      <w:r>
        <w:rPr>
          <w:lang w:val="es-AR"/>
        </w:rPr>
        <w:t>no satisfactoria con respecto a</w:t>
      </w:r>
      <w:r w:rsidRPr="008945BF">
        <w:rPr>
          <w:lang w:val="es-AR"/>
        </w:rPr>
        <w:t xml:space="preserve"> la dinámica del amortiguador, mientras que el segundo modelo tiene mayor complejidad, pero proporciona una buena predicción de la dinámica del sistema</w:t>
      </w:r>
      <w:r>
        <w:rPr>
          <w:lang w:val="es-AR"/>
        </w:rPr>
        <w:t xml:space="preserve">. </w:t>
      </w:r>
    </w:p>
    <w:p w14:paraId="33ED3191" w14:textId="2439039F" w:rsidR="009B4D5F" w:rsidRDefault="00AF6404" w:rsidP="00AF6404">
      <w:r>
        <w:t xml:space="preserve">Formulaciones basadas en el modelo de viga de Euler-Bernoulli se generaron para alcanzar modelaciones más realistas de las propiedades modales del amortiguador. Entre ellas se destacan los trabajos de </w:t>
      </w:r>
      <w:proofErr w:type="spellStart"/>
      <w:r>
        <w:t>Hagedorn</w:t>
      </w:r>
      <w:proofErr w:type="spellEnd"/>
      <w:r>
        <w:t xml:space="preserve"> y </w:t>
      </w:r>
      <w:proofErr w:type="spellStart"/>
      <w:r>
        <w:t>Sauter</w:t>
      </w:r>
      <w:proofErr w:type="spellEnd"/>
      <w:r>
        <w:rPr>
          <w:color w:val="000000"/>
        </w:rPr>
        <w:t xml:space="preserve"> </w:t>
      </w:r>
      <w:r>
        <w:rPr>
          <w:rFonts w:eastAsia="Times New Roman" w:cs="Times New Roman"/>
          <w:color w:val="00000A"/>
          <w:lang w:val="es-AR" w:eastAsia="pl-PL"/>
        </w:rPr>
        <w:t>[7</w:t>
      </w:r>
      <w:r>
        <w:rPr>
          <w:rFonts w:eastAsia="Times New Roman" w:cs="Times New Roman"/>
          <w:color w:val="000000"/>
          <w:lang w:val="es-AR" w:eastAsia="pl-PL"/>
        </w:rPr>
        <w:t>]</w:t>
      </w:r>
      <w:r>
        <w:rPr>
          <w:color w:val="000000"/>
        </w:rPr>
        <w:t xml:space="preserve">, los cuales modelan el cable mensajero como un elemento de </w:t>
      </w:r>
      <w:proofErr w:type="spellStart"/>
      <w:r>
        <w:rPr>
          <w:color w:val="000000"/>
        </w:rPr>
        <w:t>Jenkin</w:t>
      </w:r>
      <w:proofErr w:type="spellEnd"/>
      <w:r>
        <w:rPr>
          <w:color w:val="000000"/>
        </w:rPr>
        <w:t xml:space="preserve"> singularmente distribuido, con el fin de simular la respuesta del amortiguador. Posteriormente fueron desarrollados modelos no lineales de elementos finitos, donde los fenómenos </w:t>
      </w:r>
      <w:r w:rsidR="00A528F4">
        <w:rPr>
          <w:color w:val="000000"/>
        </w:rPr>
        <w:t>por histéresis</w:t>
      </w:r>
      <w:r>
        <w:rPr>
          <w:color w:val="000000"/>
        </w:rPr>
        <w:t xml:space="preserve"> son contemplados </w:t>
      </w:r>
      <w:r>
        <w:rPr>
          <w:rFonts w:eastAsia="Times New Roman" w:cs="Times New Roman"/>
          <w:color w:val="00000A"/>
          <w:lang w:val="es-AR" w:eastAsia="pl-PL"/>
        </w:rPr>
        <w:t>[8</w:t>
      </w:r>
      <w:r>
        <w:rPr>
          <w:rFonts w:eastAsia="Times New Roman" w:cs="Times New Roman"/>
          <w:color w:val="000000"/>
          <w:lang w:val="es-AR" w:eastAsia="pl-PL"/>
        </w:rPr>
        <w:t>]</w:t>
      </w:r>
      <w:r w:rsidRPr="005D1FD3">
        <w:rPr>
          <w:rFonts w:eastAsia="Times New Roman" w:cs="Times New Roman"/>
          <w:color w:val="00000A"/>
          <w:lang w:val="es-AR" w:eastAsia="pl-PL"/>
        </w:rPr>
        <w:t xml:space="preserve"> </w:t>
      </w:r>
      <w:r>
        <w:rPr>
          <w:rFonts w:eastAsia="Times New Roman" w:cs="Times New Roman"/>
          <w:color w:val="00000A"/>
          <w:lang w:val="es-AR" w:eastAsia="pl-PL"/>
        </w:rPr>
        <w:t>[9</w:t>
      </w:r>
      <w:r>
        <w:rPr>
          <w:rFonts w:eastAsia="Times New Roman" w:cs="Times New Roman"/>
          <w:color w:val="000000"/>
          <w:lang w:val="es-AR" w:eastAsia="pl-PL"/>
        </w:rPr>
        <w:t>]</w:t>
      </w:r>
      <w:r>
        <w:rPr>
          <w:color w:val="000000"/>
        </w:rPr>
        <w:t xml:space="preserve">. En estos casos, los parámetros se obtienen de ensayos experimentales. El presente </w:t>
      </w:r>
      <w:r>
        <w:t xml:space="preserve">trabajo parte de este tipo de modelaciones. En particular, se realizó un modelo de elementos finitos no lineal bidimensional que contempla la no linealidad intrínseca del cable mensajero. Con el fin de estudiar la naturaleza estocástica de los parámetros del fenómeno que explican la no linealidad del modelo, se justifica la aplicación de técnicas de inversión Bayesiana para estimar los parámetros no medibles directamente, </w:t>
      </w:r>
      <w:r>
        <w:lastRenderedPageBreak/>
        <w:t>como la rigidez y los momentos a flexión de cada uno de los hilos que conforman el cable. Utilizando esta metodología fue posible calibrar el modelo a partir de los datos experimentales.</w:t>
      </w:r>
    </w:p>
    <w:p w14:paraId="528BE49F" w14:textId="77777777" w:rsidR="008B2977" w:rsidRDefault="008B2977" w:rsidP="00FB73A9"/>
    <w:p w14:paraId="0C826236" w14:textId="1077820D" w:rsidR="00E72566" w:rsidRPr="00A84CB6" w:rsidRDefault="00A938AB" w:rsidP="00960B8F">
      <w:pPr>
        <w:pStyle w:val="Ttulo1"/>
      </w:pPr>
      <w:r>
        <w:t>Metodología</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473EA130" w:rsidR="00A84CB6" w:rsidRPr="00960B8F" w:rsidRDefault="00A938AB" w:rsidP="00960B8F">
      <w:pPr>
        <w:pStyle w:val="Ttulo2"/>
      </w:pPr>
      <w:r w:rsidRPr="00D70C44">
        <w:t>Arreglo experimental</w:t>
      </w:r>
    </w:p>
    <w:p w14:paraId="6B87D9FC" w14:textId="77777777" w:rsidR="009B4D5F" w:rsidRDefault="009B4D5F" w:rsidP="00FB73A9"/>
    <w:p w14:paraId="73D42AC5" w14:textId="77777777" w:rsidR="00A938AB" w:rsidRDefault="00A938AB" w:rsidP="00A938AB">
      <w:pPr>
        <w:suppressAutoHyphens/>
        <w:rPr>
          <w:rFonts w:eastAsia="Times New Roman" w:cs="Times New Roman"/>
          <w:color w:val="00000A"/>
          <w:lang w:val="es-AR" w:eastAsia="pl-PL"/>
        </w:rPr>
      </w:pPr>
      <w:r w:rsidRPr="00714D0C">
        <w:rPr>
          <w:rFonts w:eastAsia="Times New Roman" w:cs="Times New Roman"/>
          <w:color w:val="00000A"/>
          <w:lang w:val="es-AR" w:eastAsia="pl-PL"/>
        </w:rPr>
        <w:t xml:space="preserve">El amortiguador </w:t>
      </w:r>
      <w:r>
        <w:rPr>
          <w:rFonts w:eastAsia="Times New Roman" w:cs="Times New Roman"/>
          <w:color w:val="00000A"/>
          <w:lang w:val="es-AR" w:eastAsia="pl-PL"/>
        </w:rPr>
        <w:t>fue ensayado en un excitador electromecánico</w:t>
      </w:r>
      <w:r w:rsidRPr="00714D0C">
        <w:rPr>
          <w:rFonts w:eastAsia="Times New Roman" w:cs="Times New Roman"/>
          <w:color w:val="00000A"/>
          <w:lang w:val="es-AR" w:eastAsia="pl-PL"/>
        </w:rPr>
        <w:t>, según la norma IEC</w:t>
      </w:r>
      <w:r>
        <w:rPr>
          <w:rFonts w:eastAsia="Times New Roman" w:cs="Times New Roman"/>
          <w:color w:val="00000A"/>
          <w:lang w:val="es-AR" w:eastAsia="pl-PL"/>
        </w:rPr>
        <w:t xml:space="preserve"> </w:t>
      </w:r>
      <w:r w:rsidRPr="005D1FD3">
        <w:rPr>
          <w:rFonts w:eastAsia="Times New Roman" w:cs="Times New Roman"/>
          <w:color w:val="00000A"/>
          <w:lang w:val="es-AR" w:eastAsia="pl-PL"/>
        </w:rPr>
        <w:t>61897 [10].</w:t>
      </w:r>
      <w:r w:rsidRPr="00714D0C">
        <w:rPr>
          <w:rFonts w:eastAsia="Times New Roman" w:cs="Times New Roman"/>
          <w:color w:val="00000A"/>
          <w:lang w:val="es-AR" w:eastAsia="pl-PL"/>
        </w:rPr>
        <w:t xml:space="preserve"> </w:t>
      </w:r>
      <w:r>
        <w:rPr>
          <w:rFonts w:eastAsia="Times New Roman" w:cs="Times New Roman"/>
          <w:color w:val="00000A"/>
          <w:lang w:val="es-AR" w:eastAsia="pl-PL"/>
        </w:rPr>
        <w:t>Esta</w:t>
      </w:r>
      <w:r w:rsidRPr="00714D0C">
        <w:rPr>
          <w:rFonts w:eastAsia="Times New Roman" w:cs="Times New Roman"/>
          <w:color w:val="00000A"/>
          <w:lang w:val="es-AR" w:eastAsia="pl-PL"/>
        </w:rPr>
        <w:t xml:space="preserve"> norma exige un barrido de frecuencia con velocidad de vibración constante en la </w:t>
      </w:r>
      <w:r>
        <w:rPr>
          <w:rFonts w:eastAsia="Times New Roman" w:cs="Times New Roman"/>
          <w:color w:val="00000A"/>
          <w:lang w:val="es-AR" w:eastAsia="pl-PL"/>
        </w:rPr>
        <w:t>grapa</w:t>
      </w:r>
      <w:r w:rsidRPr="00714D0C">
        <w:rPr>
          <w:rFonts w:eastAsia="Times New Roman" w:cs="Times New Roman"/>
          <w:color w:val="00000A"/>
          <w:lang w:val="es-AR" w:eastAsia="pl-PL"/>
        </w:rPr>
        <w:t xml:space="preserve"> del amortiguador; a través de est</w:t>
      </w:r>
      <w:r>
        <w:rPr>
          <w:rFonts w:eastAsia="Times New Roman" w:cs="Times New Roman"/>
          <w:color w:val="00000A"/>
          <w:lang w:val="es-AR" w:eastAsia="pl-PL"/>
        </w:rPr>
        <w:t>e ensayo</w:t>
      </w:r>
      <w:r w:rsidRPr="00714D0C">
        <w:rPr>
          <w:rFonts w:eastAsia="Times New Roman" w:cs="Times New Roman"/>
          <w:color w:val="00000A"/>
          <w:lang w:val="es-AR" w:eastAsia="pl-PL"/>
        </w:rPr>
        <w:t>, se evalúa la impedancia mecánica del amortiguador</w:t>
      </w:r>
      <w:r>
        <w:rPr>
          <w:rFonts w:eastAsia="Times New Roman" w:cs="Times New Roman"/>
          <w:color w:val="00000A"/>
          <w:lang w:val="es-AR" w:eastAsia="pl-PL"/>
        </w:rPr>
        <w:t xml:space="preserve"> </w:t>
      </w:r>
      <m:oMath>
        <m:r>
          <w:rPr>
            <w:rFonts w:ascii="Cambria Math" w:eastAsia="Times New Roman" w:hAnsi="Cambria Math" w:cs="Times New Roman"/>
            <w:color w:val="00000A"/>
            <w:lang w:val="es-AR" w:eastAsia="pl-PL"/>
          </w:rPr>
          <m:t>(Z)</m:t>
        </m:r>
      </m:oMath>
      <w:r>
        <w:rPr>
          <w:rFonts w:eastAsia="Times New Roman" w:cs="Times New Roman"/>
          <w:color w:val="00000A"/>
          <w:lang w:val="es-AR" w:eastAsia="pl-PL"/>
        </w:rPr>
        <w:t xml:space="preserve">,  </w:t>
      </w:r>
      <w:r w:rsidRPr="00714D0C">
        <w:rPr>
          <w:rFonts w:eastAsia="Times New Roman" w:cs="Times New Roman"/>
          <w:color w:val="00000A"/>
          <w:lang w:val="es-AR" w:eastAsia="pl-PL"/>
        </w:rPr>
        <w:t xml:space="preserve">midiendo </w:t>
      </w:r>
      <w:r>
        <w:rPr>
          <w:rFonts w:eastAsia="Times New Roman" w:cs="Times New Roman"/>
          <w:color w:val="00000A"/>
          <w:lang w:val="es-AR" w:eastAsia="pl-PL"/>
        </w:rPr>
        <w:t xml:space="preserve">en la grapa del amortiguador </w:t>
      </w:r>
      <w:r w:rsidRPr="00714D0C">
        <w:rPr>
          <w:rFonts w:eastAsia="Times New Roman" w:cs="Times New Roman"/>
          <w:color w:val="00000A"/>
          <w:lang w:val="es-AR" w:eastAsia="pl-PL"/>
        </w:rPr>
        <w:t xml:space="preserve">la fuerza </w:t>
      </w:r>
      <m:oMath>
        <m:r>
          <w:rPr>
            <w:rFonts w:ascii="Cambria Math" w:eastAsia="Times New Roman" w:hAnsi="Cambria Math" w:cs="Times New Roman"/>
            <w:color w:val="00000A"/>
            <w:lang w:val="es-AR" w:eastAsia="pl-PL"/>
          </w:rPr>
          <m:t>(F)</m:t>
        </m:r>
      </m:oMath>
      <w:r w:rsidRPr="00714D0C">
        <w:rPr>
          <w:rFonts w:eastAsia="Times New Roman" w:cs="Times New Roman"/>
          <w:color w:val="00000A"/>
          <w:lang w:val="es-AR" w:eastAsia="pl-PL"/>
        </w:rPr>
        <w:t xml:space="preserve"> y </w:t>
      </w:r>
      <w:r>
        <w:rPr>
          <w:rFonts w:eastAsia="Times New Roman" w:cs="Times New Roman"/>
          <w:color w:val="00000A"/>
          <w:lang w:val="es-AR" w:eastAsia="pl-PL"/>
        </w:rPr>
        <w:t xml:space="preserve">la velocidad de excitación </w:t>
      </w:r>
      <m:oMath>
        <m:r>
          <w:rPr>
            <w:rFonts w:ascii="Cambria Math" w:eastAsia="Times New Roman" w:hAnsi="Cambria Math" w:cs="Times New Roman"/>
            <w:color w:val="00000A"/>
            <w:lang w:val="es-AR" w:eastAsia="pl-PL"/>
          </w:rPr>
          <m:t>(</m:t>
        </m:r>
        <m:acc>
          <m:accPr>
            <m:chr m:val="̇"/>
            <m:ctrlPr>
              <w:rPr>
                <w:rFonts w:ascii="Cambria Math" w:eastAsia="Times New Roman" w:hAnsi="Cambria Math" w:cs="Times New Roman"/>
                <w:i/>
                <w:color w:val="00000A"/>
                <w:lang w:val="es-AR" w:eastAsia="pl-PL"/>
              </w:rPr>
            </m:ctrlPr>
          </m:accPr>
          <m:e>
            <m:r>
              <w:rPr>
                <w:rFonts w:ascii="Cambria Math" w:eastAsia="Times New Roman" w:hAnsi="Cambria Math" w:cs="Times New Roman"/>
                <w:color w:val="00000A"/>
                <w:lang w:val="es-AR" w:eastAsia="pl-PL"/>
              </w:rPr>
              <m:t>x</m:t>
            </m:r>
          </m:e>
        </m:acc>
        <m:r>
          <w:rPr>
            <w:rFonts w:ascii="Cambria Math" w:eastAsia="Times New Roman" w:hAnsi="Cambria Math" w:cs="Times New Roman"/>
            <w:color w:val="00000A"/>
            <w:lang w:val="es-AR" w:eastAsia="pl-PL"/>
          </w:rPr>
          <m:t>)</m:t>
        </m:r>
      </m:oMath>
      <w:r w:rsidRPr="00714D0C">
        <w:rPr>
          <w:rFonts w:eastAsia="Times New Roman" w:cs="Times New Roman"/>
          <w:color w:val="00000A"/>
          <w:lang w:val="es-AR" w:eastAsia="pl-PL"/>
        </w:rPr>
        <w:t>.</w:t>
      </w:r>
      <w:r>
        <w:rPr>
          <w:rFonts w:eastAsia="Times New Roman" w:cs="Times New Roman"/>
          <w:color w:val="00000A"/>
          <w:lang w:val="es-AR" w:eastAsia="pl-PL"/>
        </w:rPr>
        <w:t xml:space="preserve"> Estas señales se pueden expresar en función del primer armónico de excitación, en forma </w:t>
      </w:r>
      <w:proofErr w:type="spellStart"/>
      <w:r>
        <w:rPr>
          <w:rFonts w:eastAsia="Times New Roman" w:cs="Times New Roman"/>
          <w:color w:val="00000A"/>
          <w:lang w:val="es-AR" w:eastAsia="pl-PL"/>
        </w:rPr>
        <w:t>fasorial</w:t>
      </w:r>
      <w:proofErr w:type="spellEnd"/>
      <w:r>
        <w:rPr>
          <w:rFonts w:eastAsia="Times New Roman" w:cs="Times New Roman"/>
          <w:color w:val="00000A"/>
          <w:lang w:val="es-AR" w:eastAsia="pl-PL"/>
        </w:rPr>
        <w:t xml:space="preserve">, obteniéndose las siguientes expresiones de la impedancia mecánica y la fase </w:t>
      </w:r>
      <m:oMath>
        <m:d>
          <m:dPr>
            <m:ctrlPr>
              <w:rPr>
                <w:rFonts w:ascii="Cambria Math" w:eastAsia="Times New Roman" w:hAnsi="Cambria Math" w:cs="Times New Roman"/>
                <w:i/>
                <w:color w:val="00000A"/>
                <w:lang w:val="es-AR" w:eastAsia="pl-PL"/>
              </w:rPr>
            </m:ctrlPr>
          </m:dPr>
          <m:e>
            <m:r>
              <w:rPr>
                <w:rFonts w:ascii="Cambria Math" w:eastAsia="Times New Roman" w:hAnsi="Cambria Math" w:cs="Times New Roman"/>
                <w:color w:val="00000A"/>
                <w:lang w:val="es-AR" w:eastAsia="pl-PL"/>
              </w:rPr>
              <m:t>θ</m:t>
            </m:r>
          </m:e>
        </m:d>
      </m:oMath>
      <w:r>
        <w:rPr>
          <w:rFonts w:eastAsia="Times New Roman" w:cs="Times New Roman"/>
          <w:color w:val="00000A"/>
          <w:lang w:val="es-AR" w:eastAsia="pl-PL"/>
        </w:rPr>
        <w:t>:</w:t>
      </w:r>
      <w:r w:rsidRPr="00E364DF">
        <w:rPr>
          <w:rFonts w:eastAsia="Times New Roman" w:cs="Times New Roman"/>
          <w:color w:val="00000A"/>
          <w:highlight w:val="yellow"/>
          <w:lang w:val="es-AR" w:eastAsia="pl-PL"/>
        </w:rPr>
        <w:t xml:space="preserve"> </w:t>
      </w:r>
    </w:p>
    <w:p w14:paraId="2D79C034" w14:textId="77777777" w:rsidR="00A938AB" w:rsidRDefault="00A938AB" w:rsidP="00A938AB">
      <w:pPr>
        <w:suppressAutoHyphens/>
        <w:rPr>
          <w:rFonts w:eastAsia="Times New Roman" w:cs="Times New Roman"/>
          <w:color w:val="00000A"/>
          <w:lang w:val="es-AR" w:eastAsia="pl-P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9"/>
        <w:gridCol w:w="596"/>
      </w:tblGrid>
      <w:tr w:rsidR="00A938AB" w:rsidRPr="00AC1CDA" w14:paraId="73E365F7" w14:textId="77777777" w:rsidTr="00A938AB">
        <w:tc>
          <w:tcPr>
            <w:tcW w:w="3799" w:type="dxa"/>
          </w:tcPr>
          <w:p w14:paraId="32CF4F4D" w14:textId="77777777" w:rsidR="00A938AB" w:rsidRPr="00AC1CDA" w:rsidRDefault="00A938AB" w:rsidP="00673113">
            <w:pPr>
              <w:spacing w:after="240"/>
              <w:jc w:val="center"/>
              <w:rPr>
                <w:rFonts w:ascii="Cambria Math" w:hAnsi="Cambria Math"/>
                <w:i/>
              </w:rPr>
            </w:pPr>
            <m:oMathPara>
              <m:oMath>
                <m:r>
                  <w:rPr>
                    <w:rFonts w:ascii="Cambria Math" w:hAnsi="Cambria Math"/>
                  </w:rPr>
                  <m:t>Z=</m:t>
                </m:r>
                <m:f>
                  <m:fPr>
                    <m:ctrlPr>
                      <w:rPr>
                        <w:rFonts w:ascii="Cambria Math" w:hAnsi="Cambria Math"/>
                        <w:i/>
                      </w:rPr>
                    </m:ctrlPr>
                  </m:fPr>
                  <m:num>
                    <m:r>
                      <w:rPr>
                        <w:rFonts w:ascii="Cambria Math" w:hAnsi="Cambria Math"/>
                      </w:rPr>
                      <m:t>F</m:t>
                    </m:r>
                  </m:num>
                  <m:den>
                    <m:acc>
                      <m:accPr>
                        <m:chr m:val="̇"/>
                        <m:ctrlPr>
                          <w:rPr>
                            <w:rFonts w:ascii="Cambria Math" w:hAnsi="Cambria Math"/>
                            <w:i/>
                          </w:rPr>
                        </m:ctrlPr>
                      </m:accPr>
                      <m:e>
                        <m:r>
                          <w:rPr>
                            <w:rFonts w:ascii="Cambria Math" w:hAnsi="Cambria Math"/>
                          </w:rPr>
                          <m:t>x</m:t>
                        </m:r>
                      </m:e>
                    </m:acc>
                  </m:den>
                </m:f>
              </m:oMath>
            </m:oMathPara>
          </w:p>
        </w:tc>
        <w:tc>
          <w:tcPr>
            <w:tcW w:w="596" w:type="dxa"/>
          </w:tcPr>
          <w:p w14:paraId="56221097" w14:textId="77777777" w:rsidR="00A938AB" w:rsidRPr="00AC1CDA" w:rsidRDefault="00A938AB" w:rsidP="00673113">
            <w:pPr>
              <w:jc w:val="right"/>
            </w:pPr>
            <w:r w:rsidRPr="00AC1CDA">
              <w:t>(1)</w:t>
            </w:r>
          </w:p>
        </w:tc>
      </w:tr>
      <w:tr w:rsidR="00A938AB" w:rsidRPr="00AC1CDA" w14:paraId="4530CAF5" w14:textId="77777777" w:rsidTr="00A938AB">
        <w:tc>
          <w:tcPr>
            <w:tcW w:w="3799" w:type="dxa"/>
          </w:tcPr>
          <w:p w14:paraId="75CBB142" w14:textId="77777777" w:rsidR="00A938AB" w:rsidRPr="00AC1CDA" w:rsidRDefault="00A938AB" w:rsidP="00673113">
            <w:pPr>
              <w:spacing w:after="240"/>
              <w:jc w:val="center"/>
              <w:rPr>
                <w:rFonts w:ascii="Cambria Math" w:hAnsi="Cambria Math"/>
                <w:i/>
              </w:rPr>
            </w:pPr>
            <m:oMathPara>
              <m:oMath>
                <m:r>
                  <w:rPr>
                    <w:rFonts w:ascii="Cambria Math" w:hAnsi="Cambria Math"/>
                  </w:rPr>
                  <m:t>θ=arg⁡(Z)</m:t>
                </m:r>
              </m:oMath>
            </m:oMathPara>
          </w:p>
        </w:tc>
        <w:tc>
          <w:tcPr>
            <w:tcW w:w="596" w:type="dxa"/>
          </w:tcPr>
          <w:p w14:paraId="225C2CD6" w14:textId="77777777" w:rsidR="00A938AB" w:rsidRPr="00AC1CDA" w:rsidRDefault="00A938AB" w:rsidP="00673113">
            <w:pPr>
              <w:jc w:val="right"/>
            </w:pPr>
            <w:r w:rsidRPr="00AC1CDA">
              <w:t>(2)</w:t>
            </w:r>
          </w:p>
        </w:tc>
      </w:tr>
    </w:tbl>
    <w:p w14:paraId="5B39F6CE" w14:textId="77777777" w:rsidR="00A938AB" w:rsidRDefault="00A938AB" w:rsidP="00A938AB">
      <w:pPr>
        <w:suppressAutoHyphens/>
        <w:rPr>
          <w:rFonts w:eastAsia="Times New Roman" w:cs="Times New Roman"/>
          <w:color w:val="00000A"/>
          <w:lang w:val="es-AR" w:eastAsia="pl-PL"/>
        </w:rPr>
      </w:pPr>
    </w:p>
    <w:p w14:paraId="7BE70233" w14:textId="0CF0147B" w:rsidR="00A938AB" w:rsidRDefault="00A938AB" w:rsidP="00A938AB">
      <w:pPr>
        <w:suppressAutoHyphens/>
        <w:rPr>
          <w:rFonts w:eastAsia="Times New Roman" w:cs="Times New Roman"/>
          <w:color w:val="00000A"/>
          <w:lang w:val="es-AR" w:eastAsia="pl-PL"/>
        </w:rPr>
      </w:pPr>
      <w:r>
        <w:rPr>
          <w:rFonts w:eastAsia="Times New Roman" w:cs="Times New Roman"/>
          <w:color w:val="00000A"/>
          <w:lang w:val="es-AR" w:eastAsia="pl-PL"/>
        </w:rPr>
        <w:t xml:space="preserve">De acuerdo con el arreglo experimental dado en la Figura </w:t>
      </w:r>
      <w:r w:rsidR="00A528F4">
        <w:rPr>
          <w:rFonts w:eastAsia="Times New Roman" w:cs="Times New Roman"/>
          <w:color w:val="00000A"/>
          <w:lang w:val="es-AR" w:eastAsia="pl-PL"/>
        </w:rPr>
        <w:t>2</w:t>
      </w:r>
      <w:r>
        <w:rPr>
          <w:rFonts w:eastAsia="Times New Roman" w:cs="Times New Roman"/>
          <w:color w:val="00000A"/>
          <w:lang w:val="es-AR" w:eastAsia="pl-PL"/>
        </w:rPr>
        <w:t>, l</w:t>
      </w:r>
      <w:r w:rsidRPr="00714D0C">
        <w:rPr>
          <w:rFonts w:eastAsia="Times New Roman" w:cs="Times New Roman"/>
          <w:color w:val="00000A"/>
          <w:lang w:val="es-AR" w:eastAsia="pl-PL"/>
        </w:rPr>
        <w:t xml:space="preserve">a fuerza en la </w:t>
      </w:r>
      <w:r>
        <w:rPr>
          <w:rFonts w:eastAsia="Times New Roman" w:cs="Times New Roman"/>
          <w:color w:val="00000A"/>
          <w:lang w:val="es-AR" w:eastAsia="pl-PL"/>
        </w:rPr>
        <w:t>grapa</w:t>
      </w:r>
      <w:r w:rsidRPr="00714D0C">
        <w:rPr>
          <w:rFonts w:eastAsia="Times New Roman" w:cs="Times New Roman"/>
          <w:color w:val="00000A"/>
          <w:lang w:val="es-AR" w:eastAsia="pl-PL"/>
        </w:rPr>
        <w:t xml:space="preserve"> se mide mediante dos c</w:t>
      </w:r>
      <w:r>
        <w:rPr>
          <w:rFonts w:eastAsia="Times New Roman" w:cs="Times New Roman"/>
          <w:color w:val="00000A"/>
          <w:lang w:val="es-AR" w:eastAsia="pl-PL"/>
        </w:rPr>
        <w:t>eldas de</w:t>
      </w:r>
      <w:r w:rsidRPr="00714D0C">
        <w:rPr>
          <w:rFonts w:eastAsia="Times New Roman" w:cs="Times New Roman"/>
          <w:color w:val="00000A"/>
          <w:lang w:val="es-AR" w:eastAsia="pl-PL"/>
        </w:rPr>
        <w:t xml:space="preserve"> carga</w:t>
      </w:r>
      <w:r>
        <w:rPr>
          <w:rFonts w:eastAsia="Times New Roman" w:cs="Times New Roman"/>
          <w:color w:val="00000A"/>
          <w:lang w:val="es-AR" w:eastAsia="pl-PL"/>
        </w:rPr>
        <w:t xml:space="preserve"> </w:t>
      </w:r>
      <w:r w:rsidRPr="00A14A60">
        <w:rPr>
          <w:rFonts w:eastAsia="Times New Roman" w:cs="Times New Roman"/>
          <w:color w:val="00000A"/>
          <w:lang w:val="es-AR" w:eastAsia="pl-PL"/>
        </w:rPr>
        <w:t>HBM U9C</w:t>
      </w:r>
      <w:r w:rsidRPr="00714D0C">
        <w:rPr>
          <w:rFonts w:eastAsia="Times New Roman" w:cs="Times New Roman"/>
          <w:color w:val="00000A"/>
          <w:lang w:val="es-AR" w:eastAsia="pl-PL"/>
        </w:rPr>
        <w:t xml:space="preserve"> las señales procedentes de las c</w:t>
      </w:r>
      <w:r>
        <w:rPr>
          <w:rFonts w:eastAsia="Times New Roman" w:cs="Times New Roman"/>
          <w:color w:val="00000A"/>
          <w:lang w:val="es-AR" w:eastAsia="pl-PL"/>
        </w:rPr>
        <w:t>eldas</w:t>
      </w:r>
      <w:r w:rsidRPr="00714D0C">
        <w:rPr>
          <w:rFonts w:eastAsia="Times New Roman" w:cs="Times New Roman"/>
          <w:color w:val="00000A"/>
          <w:lang w:val="es-AR" w:eastAsia="pl-PL"/>
        </w:rPr>
        <w:t xml:space="preserve"> se suman para evaluar sólo la componente vertical de la fuerza. Al utilizar dos c</w:t>
      </w:r>
      <w:r>
        <w:rPr>
          <w:rFonts w:eastAsia="Times New Roman" w:cs="Times New Roman"/>
          <w:color w:val="00000A"/>
          <w:lang w:val="es-AR" w:eastAsia="pl-PL"/>
        </w:rPr>
        <w:t>eldas</w:t>
      </w:r>
      <w:r w:rsidRPr="00714D0C">
        <w:rPr>
          <w:rFonts w:eastAsia="Times New Roman" w:cs="Times New Roman"/>
          <w:color w:val="00000A"/>
          <w:lang w:val="es-AR" w:eastAsia="pl-PL"/>
        </w:rPr>
        <w:t xml:space="preserve">, se puede asegurar que </w:t>
      </w:r>
      <w:r>
        <w:rPr>
          <w:rFonts w:eastAsia="Times New Roman" w:cs="Times New Roman"/>
          <w:color w:val="00000A"/>
          <w:lang w:val="es-AR" w:eastAsia="pl-PL"/>
        </w:rPr>
        <w:t xml:space="preserve">cada </w:t>
      </w:r>
      <w:r w:rsidRPr="00714D0C">
        <w:rPr>
          <w:rFonts w:eastAsia="Times New Roman" w:cs="Times New Roman"/>
          <w:color w:val="00000A"/>
          <w:lang w:val="es-AR" w:eastAsia="pl-PL"/>
        </w:rPr>
        <w:t>transductor no s</w:t>
      </w:r>
      <w:r>
        <w:rPr>
          <w:rFonts w:eastAsia="Times New Roman" w:cs="Times New Roman"/>
          <w:color w:val="00000A"/>
          <w:lang w:val="es-AR" w:eastAsia="pl-PL"/>
        </w:rPr>
        <w:t>ea</w:t>
      </w:r>
      <w:r w:rsidRPr="00714D0C">
        <w:rPr>
          <w:rFonts w:eastAsia="Times New Roman" w:cs="Times New Roman"/>
          <w:color w:val="00000A"/>
          <w:lang w:val="es-AR" w:eastAsia="pl-PL"/>
        </w:rPr>
        <w:t xml:space="preserve"> afectado por ningún cizallamiento o momento debido </w:t>
      </w:r>
      <w:r>
        <w:rPr>
          <w:rFonts w:eastAsia="Times New Roman" w:cs="Times New Roman"/>
          <w:color w:val="00000A"/>
          <w:lang w:val="es-AR" w:eastAsia="pl-PL"/>
        </w:rPr>
        <w:t>al comportamiento</w:t>
      </w:r>
      <w:r w:rsidRPr="00714D0C">
        <w:rPr>
          <w:rFonts w:eastAsia="Times New Roman" w:cs="Times New Roman"/>
          <w:color w:val="00000A"/>
          <w:lang w:val="es-AR" w:eastAsia="pl-PL"/>
        </w:rPr>
        <w:t xml:space="preserve"> del amortiguador.</w:t>
      </w:r>
      <w:r>
        <w:rPr>
          <w:rFonts w:eastAsia="Times New Roman" w:cs="Times New Roman"/>
          <w:color w:val="00000A"/>
          <w:lang w:val="es-AR" w:eastAsia="pl-PL"/>
        </w:rPr>
        <w:t xml:space="preserve"> La velocidad</w:t>
      </w:r>
      <w:r w:rsidRPr="00E33425">
        <w:rPr>
          <w:rFonts w:eastAsia="Times New Roman" w:cs="Times New Roman"/>
          <w:color w:val="00000A"/>
          <w:lang w:val="es-AR" w:eastAsia="pl-PL"/>
        </w:rPr>
        <w:t xml:space="preserve"> </w:t>
      </w:r>
      <w:r>
        <w:rPr>
          <w:rFonts w:eastAsia="Times New Roman" w:cs="Times New Roman"/>
          <w:color w:val="00000A"/>
          <w:lang w:val="es-AR" w:eastAsia="pl-PL"/>
        </w:rPr>
        <w:t>en</w:t>
      </w:r>
      <w:r w:rsidRPr="00E33425">
        <w:rPr>
          <w:rFonts w:eastAsia="Times New Roman" w:cs="Times New Roman"/>
          <w:color w:val="00000A"/>
          <w:lang w:val="es-AR" w:eastAsia="pl-PL"/>
        </w:rPr>
        <w:t xml:space="preserve"> la </w:t>
      </w:r>
      <w:r>
        <w:rPr>
          <w:rFonts w:eastAsia="Times New Roman" w:cs="Times New Roman"/>
          <w:color w:val="00000A"/>
          <w:lang w:val="es-AR" w:eastAsia="pl-PL"/>
        </w:rPr>
        <w:t>grapa</w:t>
      </w:r>
      <w:r w:rsidRPr="00E33425">
        <w:rPr>
          <w:rFonts w:eastAsia="Times New Roman" w:cs="Times New Roman"/>
          <w:color w:val="00000A"/>
          <w:lang w:val="es-AR" w:eastAsia="pl-PL"/>
        </w:rPr>
        <w:t xml:space="preserve"> se m</w:t>
      </w:r>
      <w:r>
        <w:rPr>
          <w:rFonts w:eastAsia="Times New Roman" w:cs="Times New Roman"/>
          <w:color w:val="00000A"/>
          <w:lang w:val="es-AR" w:eastAsia="pl-PL"/>
        </w:rPr>
        <w:t xml:space="preserve">ide </w:t>
      </w:r>
      <w:r w:rsidRPr="00E33425">
        <w:rPr>
          <w:rFonts w:eastAsia="Times New Roman" w:cs="Times New Roman"/>
          <w:color w:val="00000A"/>
          <w:lang w:val="es-AR" w:eastAsia="pl-PL"/>
        </w:rPr>
        <w:t>mediante</w:t>
      </w:r>
      <w:r>
        <w:rPr>
          <w:rFonts w:eastAsia="Times New Roman" w:cs="Times New Roman"/>
          <w:color w:val="00000A"/>
          <w:lang w:val="es-AR" w:eastAsia="pl-PL"/>
        </w:rPr>
        <w:t xml:space="preserve"> </w:t>
      </w:r>
      <w:r w:rsidRPr="00E33425">
        <w:rPr>
          <w:rFonts w:eastAsia="Times New Roman" w:cs="Times New Roman"/>
          <w:color w:val="00000A"/>
          <w:lang w:val="es-AR" w:eastAsia="pl-PL"/>
        </w:rPr>
        <w:t xml:space="preserve">un acelerómetro </w:t>
      </w:r>
      <w:proofErr w:type="spellStart"/>
      <w:r w:rsidRPr="00A14A60">
        <w:rPr>
          <w:rFonts w:eastAsia="Times New Roman" w:cs="Times New Roman"/>
          <w:color w:val="00000A"/>
          <w:lang w:val="es-AR" w:eastAsia="pl-PL"/>
        </w:rPr>
        <w:t>Brüel</w:t>
      </w:r>
      <w:proofErr w:type="spellEnd"/>
      <w:r w:rsidRPr="00A14A60">
        <w:rPr>
          <w:rFonts w:eastAsia="Times New Roman" w:cs="Times New Roman"/>
          <w:color w:val="00000A"/>
          <w:lang w:val="es-AR" w:eastAsia="pl-PL"/>
        </w:rPr>
        <w:t xml:space="preserve"> &amp; </w:t>
      </w:r>
      <w:proofErr w:type="spellStart"/>
      <w:r w:rsidRPr="00A14A60">
        <w:rPr>
          <w:rFonts w:eastAsia="Times New Roman" w:cs="Times New Roman"/>
          <w:color w:val="00000A"/>
          <w:lang w:val="es-AR" w:eastAsia="pl-PL"/>
        </w:rPr>
        <w:t>Kjaer</w:t>
      </w:r>
      <w:proofErr w:type="spellEnd"/>
      <w:r w:rsidRPr="00A14A60">
        <w:rPr>
          <w:rFonts w:eastAsia="Times New Roman" w:cs="Times New Roman"/>
          <w:color w:val="00000A"/>
          <w:lang w:val="es-AR" w:eastAsia="pl-PL"/>
        </w:rPr>
        <w:t xml:space="preserve"> Delta </w:t>
      </w:r>
      <w:proofErr w:type="spellStart"/>
      <w:r w:rsidRPr="00A14A60">
        <w:rPr>
          <w:rFonts w:eastAsia="Times New Roman" w:cs="Times New Roman"/>
          <w:color w:val="00000A"/>
          <w:lang w:val="es-AR" w:eastAsia="pl-PL"/>
        </w:rPr>
        <w:t>Tron</w:t>
      </w:r>
      <w:proofErr w:type="spellEnd"/>
      <w:r w:rsidRPr="00A14A60">
        <w:rPr>
          <w:rFonts w:eastAsia="Times New Roman" w:cs="Times New Roman"/>
          <w:color w:val="00000A"/>
          <w:lang w:val="es-AR" w:eastAsia="pl-PL"/>
        </w:rPr>
        <w:t xml:space="preserve"> Modelo 4507 B004</w:t>
      </w:r>
      <w:r>
        <w:rPr>
          <w:rFonts w:eastAsia="Times New Roman" w:cs="Times New Roman"/>
          <w:color w:val="00000A"/>
          <w:lang w:val="es-AR" w:eastAsia="pl-PL"/>
        </w:rPr>
        <w:t>, a partir de la integración de su señal</w:t>
      </w:r>
      <w:r w:rsidRPr="00E33425">
        <w:rPr>
          <w:rFonts w:eastAsia="Times New Roman" w:cs="Times New Roman"/>
          <w:color w:val="00000A"/>
          <w:lang w:val="es-AR" w:eastAsia="pl-PL"/>
        </w:rPr>
        <w:t>. Esta solución ofrece</w:t>
      </w:r>
      <w:r>
        <w:rPr>
          <w:rFonts w:eastAsia="Times New Roman" w:cs="Times New Roman"/>
          <w:color w:val="00000A"/>
          <w:lang w:val="es-AR" w:eastAsia="pl-PL"/>
        </w:rPr>
        <w:t xml:space="preserve"> </w:t>
      </w:r>
      <w:r w:rsidRPr="00E33425">
        <w:rPr>
          <w:rFonts w:eastAsia="Times New Roman" w:cs="Times New Roman"/>
          <w:color w:val="00000A"/>
          <w:lang w:val="es-AR" w:eastAsia="pl-PL"/>
        </w:rPr>
        <w:t>muchas ventajas en cuanto a la configuración de la medición, ya que</w:t>
      </w:r>
      <w:r>
        <w:rPr>
          <w:rFonts w:eastAsia="Times New Roman" w:cs="Times New Roman"/>
          <w:color w:val="00000A"/>
          <w:lang w:val="es-AR" w:eastAsia="pl-PL"/>
        </w:rPr>
        <w:t xml:space="preserve"> </w:t>
      </w:r>
      <w:r w:rsidRPr="00E33425">
        <w:rPr>
          <w:rFonts w:eastAsia="Times New Roman" w:cs="Times New Roman"/>
          <w:color w:val="00000A"/>
          <w:lang w:val="es-AR" w:eastAsia="pl-PL"/>
        </w:rPr>
        <w:t xml:space="preserve">proporciona una medición absoluta inmediata. </w:t>
      </w:r>
      <w:r>
        <w:rPr>
          <w:rFonts w:eastAsia="Times New Roman" w:cs="Times New Roman"/>
          <w:color w:val="00000A"/>
          <w:lang w:val="es-AR" w:eastAsia="pl-PL"/>
        </w:rPr>
        <w:t xml:space="preserve">La sensibilidad del sensor es </w:t>
      </w:r>
      <w:r w:rsidRPr="00E33425">
        <w:rPr>
          <w:rFonts w:eastAsia="Times New Roman" w:cs="Times New Roman"/>
          <w:color w:val="00000A"/>
          <w:lang w:val="es-AR" w:eastAsia="pl-PL"/>
        </w:rPr>
        <w:t>adecuada,</w:t>
      </w:r>
      <w:r>
        <w:rPr>
          <w:rFonts w:eastAsia="Times New Roman" w:cs="Times New Roman"/>
          <w:color w:val="00000A"/>
          <w:lang w:val="es-AR" w:eastAsia="pl-PL"/>
        </w:rPr>
        <w:t xml:space="preserve"> </w:t>
      </w:r>
      <w:r w:rsidRPr="00E33425">
        <w:rPr>
          <w:rFonts w:eastAsia="Times New Roman" w:cs="Times New Roman"/>
          <w:color w:val="00000A"/>
          <w:lang w:val="es-AR" w:eastAsia="pl-PL"/>
        </w:rPr>
        <w:t>especialmente en las frecuencias más bajas, donde la aceleración alcanza</w:t>
      </w:r>
      <w:r>
        <w:rPr>
          <w:rFonts w:eastAsia="Times New Roman" w:cs="Times New Roman"/>
          <w:color w:val="00000A"/>
          <w:lang w:val="es-AR" w:eastAsia="pl-PL"/>
        </w:rPr>
        <w:t xml:space="preserve"> </w:t>
      </w:r>
      <w:r w:rsidRPr="00E33425">
        <w:rPr>
          <w:rFonts w:eastAsia="Times New Roman" w:cs="Times New Roman"/>
          <w:color w:val="00000A"/>
          <w:lang w:val="es-AR" w:eastAsia="pl-PL"/>
        </w:rPr>
        <w:t>sus valores más bajos.</w:t>
      </w:r>
    </w:p>
    <w:p w14:paraId="684C5FA0" w14:textId="77777777" w:rsidR="00A938AB" w:rsidRDefault="00A938AB" w:rsidP="00A938AB">
      <w:pPr>
        <w:suppressAutoHyphens/>
        <w:rPr>
          <w:rFonts w:eastAsia="Times New Roman" w:cs="Times New Roman"/>
          <w:color w:val="00000A"/>
          <w:lang w:val="es-AR" w:eastAsia="pl-PL"/>
        </w:rPr>
      </w:pPr>
    </w:p>
    <w:p w14:paraId="54FD7C21" w14:textId="77777777" w:rsidR="00A938AB" w:rsidRDefault="00A938AB" w:rsidP="00A938AB">
      <w:pPr>
        <w:keepNext/>
        <w:suppressAutoHyphens/>
        <w:jc w:val="center"/>
      </w:pPr>
      <w:r>
        <w:rPr>
          <w:noProof/>
          <w:lang w:val="es-AR" w:eastAsia="es-AR"/>
        </w:rPr>
        <w:drawing>
          <wp:inline distT="0" distB="0" distL="0" distR="0" wp14:anchorId="30C67D45" wp14:editId="33805B19">
            <wp:extent cx="1846491" cy="1809474"/>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52730" cy="1815587"/>
                    </a:xfrm>
                    <a:prstGeom prst="rect">
                      <a:avLst/>
                    </a:prstGeom>
                    <a:ln>
                      <a:noFill/>
                    </a:ln>
                    <a:extLst>
                      <a:ext uri="{53640926-AAD7-44D8-BBD7-CCE9431645EC}">
                        <a14:shadowObscured xmlns:a14="http://schemas.microsoft.com/office/drawing/2010/main"/>
                      </a:ext>
                    </a:extLst>
                  </pic:spPr>
                </pic:pic>
              </a:graphicData>
            </a:graphic>
          </wp:inline>
        </w:drawing>
      </w:r>
    </w:p>
    <w:p w14:paraId="494A8134" w14:textId="77777777" w:rsidR="00ED6B92" w:rsidRDefault="00A938AB" w:rsidP="00A938AB">
      <w:pPr>
        <w:suppressAutoHyphens/>
        <w:jc w:val="center"/>
        <w:rPr>
          <w:rFonts w:eastAsiaTheme="minorEastAsia"/>
          <w:iCs/>
          <w:szCs w:val="18"/>
          <w:lang w:eastAsia="es-CO"/>
        </w:rPr>
      </w:pPr>
      <w:r w:rsidRPr="007317E8">
        <w:rPr>
          <w:rFonts w:eastAsiaTheme="minorEastAsia"/>
          <w:iCs/>
          <w:szCs w:val="18"/>
          <w:lang w:eastAsia="es-CO"/>
        </w:rPr>
        <w:t xml:space="preserve">Figura </w:t>
      </w:r>
      <w:r w:rsidRPr="007317E8">
        <w:rPr>
          <w:rFonts w:eastAsiaTheme="minorEastAsia"/>
          <w:iCs/>
          <w:szCs w:val="18"/>
          <w:lang w:eastAsia="es-CO"/>
        </w:rPr>
        <w:fldChar w:fldCharType="begin"/>
      </w:r>
      <w:r w:rsidRPr="007317E8">
        <w:rPr>
          <w:rFonts w:eastAsiaTheme="minorEastAsia"/>
          <w:iCs/>
          <w:szCs w:val="18"/>
          <w:lang w:eastAsia="es-CO"/>
        </w:rPr>
        <w:instrText xml:space="preserve"> SEQ Figura \* ARABIC </w:instrText>
      </w:r>
      <w:r w:rsidRPr="007317E8">
        <w:rPr>
          <w:rFonts w:eastAsiaTheme="minorEastAsia"/>
          <w:iCs/>
          <w:szCs w:val="18"/>
          <w:lang w:eastAsia="es-CO"/>
        </w:rPr>
        <w:fldChar w:fldCharType="separate"/>
      </w:r>
      <w:r>
        <w:rPr>
          <w:rFonts w:eastAsiaTheme="minorEastAsia"/>
          <w:iCs/>
          <w:noProof/>
          <w:szCs w:val="18"/>
          <w:lang w:eastAsia="es-CO"/>
        </w:rPr>
        <w:t>2</w:t>
      </w:r>
      <w:r w:rsidRPr="007317E8">
        <w:rPr>
          <w:rFonts w:eastAsiaTheme="minorEastAsia"/>
          <w:iCs/>
          <w:szCs w:val="18"/>
          <w:lang w:eastAsia="es-CO"/>
        </w:rPr>
        <w:fldChar w:fldCharType="end"/>
      </w:r>
      <w:r w:rsidRPr="007317E8">
        <w:rPr>
          <w:rFonts w:eastAsiaTheme="minorEastAsia"/>
          <w:iCs/>
          <w:szCs w:val="18"/>
          <w:lang w:eastAsia="es-CO"/>
        </w:rPr>
        <w:t>. Esquema del arreglo experimental.</w:t>
      </w:r>
      <w:r>
        <w:rPr>
          <w:rFonts w:eastAsiaTheme="minorEastAsia"/>
          <w:iCs/>
          <w:szCs w:val="18"/>
          <w:lang w:eastAsia="es-CO"/>
        </w:rPr>
        <w:t xml:space="preserve"> </w:t>
      </w:r>
    </w:p>
    <w:p w14:paraId="77A85993" w14:textId="4A4B712C" w:rsidR="00A938AB" w:rsidRPr="007317E8" w:rsidRDefault="00A938AB" w:rsidP="00A938AB">
      <w:pPr>
        <w:suppressAutoHyphens/>
        <w:jc w:val="center"/>
        <w:rPr>
          <w:rFonts w:eastAsia="Times New Roman" w:cs="Times New Roman"/>
          <w:color w:val="00000A"/>
          <w:lang w:val="es-AR" w:eastAsia="pl-PL"/>
        </w:rPr>
      </w:pPr>
      <w:r>
        <w:rPr>
          <w:rFonts w:eastAsiaTheme="minorEastAsia"/>
          <w:iCs/>
          <w:szCs w:val="18"/>
          <w:lang w:eastAsia="es-CO"/>
        </w:rPr>
        <w:t>Fuente: Elaboración Propia</w:t>
      </w:r>
    </w:p>
    <w:p w14:paraId="42CFD8E6" w14:textId="4B26F65F" w:rsidR="009B4D5F" w:rsidRDefault="00A938AB" w:rsidP="00A938AB">
      <w:pPr>
        <w:rPr>
          <w:noProof/>
        </w:rPr>
      </w:pPr>
      <w:r w:rsidRPr="00E33425">
        <w:rPr>
          <w:rFonts w:eastAsia="Times New Roman" w:cs="Times New Roman"/>
          <w:color w:val="00000A"/>
          <w:lang w:val="es-AR" w:eastAsia="pl-PL"/>
        </w:rPr>
        <w:lastRenderedPageBreak/>
        <w:t xml:space="preserve">Los resultados </w:t>
      </w:r>
      <w:r>
        <w:rPr>
          <w:rFonts w:eastAsia="Times New Roman" w:cs="Times New Roman"/>
          <w:color w:val="00000A"/>
          <w:lang w:val="es-AR" w:eastAsia="pl-PL"/>
        </w:rPr>
        <w:t>obtenidos de los ensayos se presentan en términos d</w:t>
      </w:r>
      <w:r w:rsidRPr="00E33425">
        <w:rPr>
          <w:rFonts w:eastAsia="Times New Roman" w:cs="Times New Roman"/>
          <w:color w:val="00000A"/>
          <w:lang w:val="es-AR" w:eastAsia="pl-PL"/>
        </w:rPr>
        <w:t xml:space="preserve">e la función de transferencia, tanto </w:t>
      </w:r>
      <w:r>
        <w:rPr>
          <w:rFonts w:eastAsia="Times New Roman" w:cs="Times New Roman"/>
          <w:color w:val="00000A"/>
          <w:lang w:val="es-AR" w:eastAsia="pl-PL"/>
        </w:rPr>
        <w:t xml:space="preserve">en </w:t>
      </w:r>
      <w:r w:rsidRPr="00E33425">
        <w:rPr>
          <w:rFonts w:eastAsia="Times New Roman" w:cs="Times New Roman"/>
          <w:color w:val="00000A"/>
          <w:lang w:val="es-AR" w:eastAsia="pl-PL"/>
        </w:rPr>
        <w:t xml:space="preserve">amplitud como </w:t>
      </w:r>
      <w:r>
        <w:rPr>
          <w:rFonts w:eastAsia="Times New Roman" w:cs="Times New Roman"/>
          <w:color w:val="00000A"/>
          <w:lang w:val="es-AR" w:eastAsia="pl-PL"/>
        </w:rPr>
        <w:t>en</w:t>
      </w:r>
      <w:r w:rsidRPr="00E33425">
        <w:rPr>
          <w:rFonts w:eastAsia="Times New Roman" w:cs="Times New Roman"/>
          <w:color w:val="00000A"/>
          <w:lang w:val="es-AR" w:eastAsia="pl-PL"/>
        </w:rPr>
        <w:t xml:space="preserve"> fase</w:t>
      </w:r>
      <w:r>
        <w:rPr>
          <w:rFonts w:eastAsia="Times New Roman" w:cs="Times New Roman"/>
          <w:color w:val="00000A"/>
          <w:lang w:val="es-AR" w:eastAsia="pl-PL"/>
        </w:rPr>
        <w:t>. Dado que la e</w:t>
      </w:r>
      <w:r w:rsidRPr="00793428">
        <w:rPr>
          <w:rFonts w:eastAsia="Times New Roman" w:cs="Times New Roman"/>
          <w:color w:val="00000A"/>
          <w:lang w:val="es-AR" w:eastAsia="pl-PL"/>
        </w:rPr>
        <w:t xml:space="preserve">valuación de las funciones de transferencia mediante un barrido continuo de frecuencias </w:t>
      </w:r>
      <w:r>
        <w:rPr>
          <w:rFonts w:eastAsia="Times New Roman" w:cs="Times New Roman"/>
          <w:color w:val="00000A"/>
          <w:lang w:val="es-AR" w:eastAsia="pl-PL"/>
        </w:rPr>
        <w:t xml:space="preserve">impide alcanzar el estado estacionario del amortiguador, se decidió ensayar con pasos discretos de frecuencia. Todas las variables son registradas con un sistema de adquisición HBM </w:t>
      </w:r>
      <w:proofErr w:type="spellStart"/>
      <w:r w:rsidRPr="00776600">
        <w:rPr>
          <w:rFonts w:eastAsia="Times New Roman" w:cs="Times New Roman"/>
          <w:color w:val="00000A"/>
          <w:lang w:val="es-AR" w:eastAsia="pl-PL"/>
        </w:rPr>
        <w:t>Quantum</w:t>
      </w:r>
      <w:r>
        <w:rPr>
          <w:rFonts w:eastAsia="Times New Roman" w:cs="Times New Roman"/>
          <w:color w:val="00000A"/>
          <w:lang w:val="es-AR" w:eastAsia="pl-PL"/>
        </w:rPr>
        <w:t>X</w:t>
      </w:r>
      <w:proofErr w:type="spellEnd"/>
      <w:r>
        <w:rPr>
          <w:rFonts w:eastAsia="Times New Roman" w:cs="Times New Roman"/>
          <w:color w:val="00000A"/>
          <w:lang w:val="es-AR" w:eastAsia="pl-PL"/>
        </w:rPr>
        <w:t xml:space="preserve"> </w:t>
      </w:r>
      <w:r w:rsidRPr="007A212D">
        <w:rPr>
          <w:rFonts w:eastAsia="Times New Roman" w:cs="Times New Roman"/>
          <w:color w:val="00000A"/>
          <w:lang w:val="es-ES" w:eastAsia="pl-PL"/>
        </w:rPr>
        <w:t>[11]</w:t>
      </w:r>
      <w:r w:rsidRPr="007A212D">
        <w:rPr>
          <w:rFonts w:eastAsia="Times New Roman" w:cs="Times New Roman"/>
          <w:color w:val="00000A"/>
          <w:lang w:val="es-AR" w:eastAsia="pl-PL"/>
        </w:rPr>
        <w:t>.</w:t>
      </w:r>
      <w:r w:rsidRPr="00776600">
        <w:rPr>
          <w:rFonts w:eastAsia="Times New Roman" w:cs="Times New Roman"/>
          <w:color w:val="00000A"/>
          <w:lang w:val="es-AR" w:eastAsia="pl-PL"/>
        </w:rPr>
        <w:t xml:space="preserve"> </w:t>
      </w:r>
      <w:r>
        <w:rPr>
          <w:rFonts w:eastAsia="Times New Roman" w:cs="Times New Roman"/>
          <w:color w:val="00000A"/>
          <w:lang w:val="es-AR" w:eastAsia="pl-PL"/>
        </w:rPr>
        <w:t xml:space="preserve">El </w:t>
      </w:r>
      <w:r w:rsidRPr="00776600">
        <w:rPr>
          <w:rFonts w:eastAsia="Times New Roman" w:cs="Times New Roman"/>
          <w:color w:val="00000A"/>
          <w:lang w:val="es-AR" w:eastAsia="pl-PL"/>
        </w:rPr>
        <w:t xml:space="preserve">procesamiento de las señales </w:t>
      </w:r>
      <w:r>
        <w:rPr>
          <w:rFonts w:eastAsia="Times New Roman" w:cs="Times New Roman"/>
          <w:color w:val="00000A"/>
          <w:lang w:val="es-AR" w:eastAsia="pl-PL"/>
        </w:rPr>
        <w:t xml:space="preserve">se realiza </w:t>
      </w:r>
      <w:r w:rsidRPr="00776600">
        <w:rPr>
          <w:rFonts w:eastAsia="Times New Roman" w:cs="Times New Roman"/>
          <w:color w:val="00000A"/>
          <w:lang w:val="es-AR" w:eastAsia="pl-PL"/>
        </w:rPr>
        <w:t xml:space="preserve">en base </w:t>
      </w:r>
      <w:r>
        <w:rPr>
          <w:rFonts w:eastAsia="Times New Roman" w:cs="Times New Roman"/>
          <w:color w:val="00000A"/>
          <w:lang w:val="es-AR" w:eastAsia="pl-PL"/>
        </w:rPr>
        <w:t xml:space="preserve">a </w:t>
      </w:r>
      <w:r w:rsidRPr="00776600">
        <w:rPr>
          <w:rFonts w:eastAsia="Times New Roman" w:cs="Times New Roman"/>
          <w:color w:val="00000A"/>
          <w:lang w:val="es-AR" w:eastAsia="pl-PL"/>
        </w:rPr>
        <w:t xml:space="preserve">la transformada de Fourier </w:t>
      </w:r>
      <w:r>
        <w:rPr>
          <w:rFonts w:eastAsia="Times New Roman" w:cs="Times New Roman"/>
          <w:color w:val="00000A"/>
          <w:lang w:val="es-AR" w:eastAsia="pl-PL"/>
        </w:rPr>
        <w:t>mediante un software desarrollado ad-hoc.</w:t>
      </w:r>
    </w:p>
    <w:p w14:paraId="3AC0D3E2" w14:textId="688D22F1" w:rsidR="009B4D5F" w:rsidRDefault="009B4D5F" w:rsidP="002E2C39">
      <w:pPr>
        <w:rPr>
          <w:noProof/>
        </w:rPr>
      </w:pPr>
    </w:p>
    <w:p w14:paraId="386A53E0" w14:textId="19B4DCF4" w:rsidR="00A84CB6" w:rsidRPr="00A84CB6" w:rsidRDefault="00A938AB" w:rsidP="00960B8F">
      <w:pPr>
        <w:pStyle w:val="Ttulo2"/>
      </w:pPr>
      <w:r>
        <w:t xml:space="preserve">Descripción del </w:t>
      </w:r>
      <w:r w:rsidRPr="00D70C44">
        <w:t>Modelo</w:t>
      </w:r>
      <w:r>
        <w:t xml:space="preserve"> Determinístico</w:t>
      </w:r>
    </w:p>
    <w:p w14:paraId="55BF26DE" w14:textId="77777777" w:rsidR="009B4D5F" w:rsidRPr="00322F16" w:rsidRDefault="009B4D5F" w:rsidP="002E2C39">
      <w:pPr>
        <w:rPr>
          <w:noProof/>
        </w:rPr>
      </w:pPr>
    </w:p>
    <w:p w14:paraId="5965948D" w14:textId="2030E8EB" w:rsidR="00A938AB" w:rsidRDefault="00A938AB" w:rsidP="00A938AB">
      <w:r>
        <w:t>La rigidez flexional (</w:t>
      </w:r>
      <w:r w:rsidRPr="00FC21FE">
        <w:rPr>
          <w:i/>
          <w:iCs/>
        </w:rPr>
        <w:t>EI</w:t>
      </w:r>
      <w:r>
        <w:t>) de los cables mensajeros es un parámetro importante en el estudio de la respuesta dinámica. Se han desarrollado diversos modelos que contemplan la variación no lineal de este parámetro con respecto a la curvatura (</w:t>
      </w:r>
      <w:r>
        <w:rPr>
          <w:rFonts w:cs="Times New Roman"/>
        </w:rPr>
        <w:t>κ</w:t>
      </w:r>
      <w:r>
        <w:t xml:space="preserve">), los cuales se basan en un modelo del tipo </w:t>
      </w:r>
      <w:proofErr w:type="spellStart"/>
      <w:r w:rsidRPr="002A78C1">
        <w:rPr>
          <w:i/>
          <w:iCs/>
        </w:rPr>
        <w:t>stick</w:t>
      </w:r>
      <w:proofErr w:type="spellEnd"/>
      <w:r w:rsidRPr="002A78C1">
        <w:rPr>
          <w:i/>
          <w:iCs/>
        </w:rPr>
        <w:t>-slip</w:t>
      </w:r>
      <w:r>
        <w:rPr>
          <w:i/>
          <w:iCs/>
        </w:rPr>
        <w:t xml:space="preserve"> </w:t>
      </w:r>
      <w:r w:rsidRPr="007A212D">
        <w:rPr>
          <w:rFonts w:eastAsia="Times New Roman" w:cs="Times New Roman"/>
          <w:color w:val="00000A"/>
          <w:lang w:val="es-ES" w:eastAsia="pl-PL"/>
        </w:rPr>
        <w:t>[1</w:t>
      </w:r>
      <w:r>
        <w:rPr>
          <w:rFonts w:eastAsia="Times New Roman" w:cs="Times New Roman"/>
          <w:color w:val="00000A"/>
          <w:lang w:val="es-ES" w:eastAsia="pl-PL"/>
        </w:rPr>
        <w:t>2</w:t>
      </w:r>
      <w:r w:rsidRPr="007A212D">
        <w:rPr>
          <w:rFonts w:eastAsia="Times New Roman" w:cs="Times New Roman"/>
          <w:color w:val="00000A"/>
          <w:lang w:val="es-ES" w:eastAsia="pl-PL"/>
        </w:rPr>
        <w:t>]</w:t>
      </w:r>
      <w:r w:rsidRPr="007A212D">
        <w:rPr>
          <w:rFonts w:eastAsia="Times New Roman" w:cs="Times New Roman"/>
          <w:color w:val="00000A"/>
          <w:lang w:val="es-AR" w:eastAsia="pl-PL"/>
        </w:rPr>
        <w:t>.</w:t>
      </w:r>
      <w:r>
        <w:t xml:space="preserve"> La rigidez flexional varía entre dos valores: uno conocido como </w:t>
      </w:r>
      <w:proofErr w:type="spellStart"/>
      <w:r w:rsidRPr="00FC21FE">
        <w:rPr>
          <w:i/>
          <w:iCs/>
        </w:rPr>
        <w:t>EI</w:t>
      </w:r>
      <w:r>
        <w:rPr>
          <w:vertAlign w:val="subscript"/>
        </w:rPr>
        <w:t>min</w:t>
      </w:r>
      <w:proofErr w:type="spellEnd"/>
      <w:r>
        <w:t xml:space="preserve"> donde se produce un deslizamiento total entre los hilos y se contempla únicamente la resistencia a la flexión de los hilos respecto a su propio eje neutro, y el </w:t>
      </w:r>
      <w:proofErr w:type="spellStart"/>
      <w:r w:rsidRPr="00FC21FE">
        <w:rPr>
          <w:i/>
          <w:iCs/>
        </w:rPr>
        <w:t>EI</w:t>
      </w:r>
      <w:r>
        <w:rPr>
          <w:vertAlign w:val="subscript"/>
        </w:rPr>
        <w:t>max</w:t>
      </w:r>
      <w:proofErr w:type="spellEnd"/>
      <w:r>
        <w:rPr>
          <w:vertAlign w:val="subscript"/>
        </w:rPr>
        <w:t xml:space="preserve"> </w:t>
      </w:r>
      <w:r>
        <w:t>donde todos los hilos se adhieren como un cuerpo sólido. El momento a la flexión</w:t>
      </w:r>
      <w:r w:rsidR="00A9758D">
        <w:t xml:space="preserve"> (</w:t>
      </w:r>
      <w:proofErr w:type="spellStart"/>
      <w:r w:rsidR="00A9758D" w:rsidRPr="00A9758D">
        <w:rPr>
          <w:i/>
        </w:rPr>
        <w:t>M</w:t>
      </w:r>
      <w:r w:rsidR="00A9758D" w:rsidRPr="00A9758D">
        <w:rPr>
          <w:i/>
          <w:vertAlign w:val="subscript"/>
        </w:rPr>
        <w:t>f</w:t>
      </w:r>
      <w:proofErr w:type="spellEnd"/>
      <w:r w:rsidR="00A9758D">
        <w:t>)</w:t>
      </w:r>
      <w:r>
        <w:t xml:space="preserve"> puede aproximarse mediante la ecuación (</w:t>
      </w:r>
      <w:r w:rsidR="00990B89">
        <w:t>3</w:t>
      </w:r>
      <w:r>
        <w:t xml:space="preserve">), donde la rigidez a la flexión depende de la zona del régimen </w:t>
      </w:r>
      <w:proofErr w:type="spellStart"/>
      <w:r w:rsidRPr="002A78C1">
        <w:rPr>
          <w:i/>
          <w:iCs/>
        </w:rPr>
        <w:t>stick</w:t>
      </w:r>
      <w:proofErr w:type="spellEnd"/>
      <w:r w:rsidRPr="002A78C1">
        <w:rPr>
          <w:i/>
          <w:iCs/>
        </w:rPr>
        <w:t>-slip</w:t>
      </w:r>
      <w:r>
        <w:t>, según se indica en las ecuaciones (</w:t>
      </w:r>
      <w:r w:rsidR="00A528F4">
        <w:t>4) y (5</w:t>
      </w:r>
      <w:r>
        <w:t>).</w:t>
      </w:r>
    </w:p>
    <w:p w14:paraId="1C02223F" w14:textId="77777777" w:rsidR="00A938AB" w:rsidRDefault="00A938AB" w:rsidP="00A938A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551"/>
      </w:tblGrid>
      <w:tr w:rsidR="00A938AB" w14:paraId="431D409F" w14:textId="77777777" w:rsidTr="00673113">
        <w:tc>
          <w:tcPr>
            <w:tcW w:w="3806" w:type="dxa"/>
          </w:tcPr>
          <w:p w14:paraId="18E88F00" w14:textId="7494085E" w:rsidR="00A938AB" w:rsidRDefault="00A9758D" w:rsidP="00673113">
            <w:pPr>
              <w:spacing w:after="240"/>
              <w:jc w:val="center"/>
            </w:pPr>
            <m:oMathPara>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≈EIκ</m:t>
                </m:r>
              </m:oMath>
            </m:oMathPara>
          </w:p>
        </w:tc>
        <w:tc>
          <w:tcPr>
            <w:tcW w:w="551" w:type="dxa"/>
          </w:tcPr>
          <w:p w14:paraId="2CC2AAC0" w14:textId="77777777" w:rsidR="00A938AB" w:rsidRDefault="00A938AB" w:rsidP="00673113">
            <w:pPr>
              <w:jc w:val="right"/>
            </w:pPr>
            <w:r>
              <w:t>(3)</w:t>
            </w:r>
          </w:p>
        </w:tc>
      </w:tr>
      <w:tr w:rsidR="00A938AB" w14:paraId="72494254" w14:textId="77777777" w:rsidTr="00673113">
        <w:tc>
          <w:tcPr>
            <w:tcW w:w="3806" w:type="dxa"/>
          </w:tcPr>
          <w:p w14:paraId="5444E86E" w14:textId="77777777" w:rsidR="00A938AB" w:rsidRDefault="00667E15" w:rsidP="00673113">
            <w:pPr>
              <w:spacing w:after="240"/>
              <w:jc w:val="center"/>
            </w:pPr>
            <m:oMathPara>
              <m:oMath>
                <m:sSub>
                  <m:sSubPr>
                    <m:ctrlPr>
                      <w:rPr>
                        <w:rFonts w:ascii="Cambria Math" w:hAnsi="Cambria Math"/>
                        <w:i/>
                      </w:rPr>
                    </m:ctrlPr>
                  </m:sSubPr>
                  <m:e>
                    <m:r>
                      <w:rPr>
                        <w:rFonts w:ascii="Cambria Math" w:hAnsi="Cambria Math"/>
                      </w:rPr>
                      <m:t>EI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EI</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EI</m:t>
                    </m:r>
                  </m:e>
                  <m:sub>
                    <m:r>
                      <w:rPr>
                        <w:rFonts w:ascii="Cambria Math" w:hAnsi="Cambria Math"/>
                      </w:rPr>
                      <m:t>stick</m:t>
                    </m:r>
                  </m:sub>
                </m:sSub>
              </m:oMath>
            </m:oMathPara>
          </w:p>
        </w:tc>
        <w:tc>
          <w:tcPr>
            <w:tcW w:w="551" w:type="dxa"/>
          </w:tcPr>
          <w:p w14:paraId="7295A78A" w14:textId="77777777" w:rsidR="00A938AB" w:rsidRDefault="00A938AB" w:rsidP="00673113">
            <w:pPr>
              <w:jc w:val="right"/>
            </w:pPr>
            <w:r>
              <w:t>(4)</w:t>
            </w:r>
          </w:p>
        </w:tc>
      </w:tr>
      <w:tr w:rsidR="00A938AB" w14:paraId="14C7DBFB" w14:textId="77777777" w:rsidTr="00673113">
        <w:tc>
          <w:tcPr>
            <w:tcW w:w="3806" w:type="dxa"/>
          </w:tcPr>
          <w:p w14:paraId="7F82919D" w14:textId="77777777" w:rsidR="00A938AB" w:rsidRDefault="00A938AB" w:rsidP="00673113">
            <w:pPr>
              <w:spacing w:after="240"/>
              <w:jc w:val="center"/>
            </w:pPr>
            <m:oMathPara>
              <m:oMath>
                <m:r>
                  <w:rPr>
                    <w:rFonts w:ascii="Cambria Math" w:hAnsi="Cambria Math"/>
                  </w:rPr>
                  <m:t>EI=</m:t>
                </m:r>
                <m:sSub>
                  <m:sSubPr>
                    <m:ctrlPr>
                      <w:rPr>
                        <w:rFonts w:ascii="Cambria Math" w:hAnsi="Cambria Math"/>
                        <w:i/>
                      </w:rPr>
                    </m:ctrlPr>
                  </m:sSubPr>
                  <m:e>
                    <m:r>
                      <w:rPr>
                        <w:rFonts w:ascii="Cambria Math" w:hAnsi="Cambria Math"/>
                      </w:rPr>
                      <m:t>EI</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EI</m:t>
                    </m:r>
                  </m:e>
                  <m:sub>
                    <m:r>
                      <w:rPr>
                        <w:rFonts w:ascii="Cambria Math" w:hAnsi="Cambria Math"/>
                      </w:rPr>
                      <m:t>slip</m:t>
                    </m:r>
                  </m:sub>
                </m:sSub>
                <m:r>
                  <w:rPr>
                    <w:rFonts w:ascii="Cambria Math" w:eastAsiaTheme="minorEastAsia" w:hAnsi="Cambria Math"/>
                    <w:noProof/>
                  </w:rPr>
                  <m:t>=fnc(κ)</m:t>
                </m:r>
              </m:oMath>
            </m:oMathPara>
          </w:p>
        </w:tc>
        <w:tc>
          <w:tcPr>
            <w:tcW w:w="551" w:type="dxa"/>
          </w:tcPr>
          <w:p w14:paraId="4F19330A" w14:textId="77777777" w:rsidR="00A938AB" w:rsidRDefault="00A938AB" w:rsidP="00673113">
            <w:pPr>
              <w:jc w:val="right"/>
            </w:pPr>
            <w:r>
              <w:t>(5)</w:t>
            </w:r>
          </w:p>
        </w:tc>
      </w:tr>
    </w:tbl>
    <w:p w14:paraId="18C0C659" w14:textId="77777777" w:rsidR="00A938AB" w:rsidRDefault="00A938AB" w:rsidP="00A938AB">
      <w:pPr>
        <w:rPr>
          <w:rFonts w:eastAsia="Times New Roman" w:cs="Times New Roman"/>
          <w:color w:val="00000A"/>
          <w:lang w:val="es-AR" w:eastAsia="pl-PL"/>
        </w:rPr>
      </w:pPr>
    </w:p>
    <w:p w14:paraId="524EDB63" w14:textId="77777777" w:rsidR="00A938AB" w:rsidRDefault="00A938AB" w:rsidP="00A938AB">
      <w:pPr>
        <w:rPr>
          <w:rFonts w:eastAsia="Times New Roman" w:cs="Times New Roman"/>
          <w:color w:val="00000A"/>
          <w:lang w:val="es-AR" w:eastAsia="pl-PL"/>
        </w:rPr>
      </w:pPr>
      <w:r w:rsidRPr="00B51564">
        <w:rPr>
          <w:rFonts w:eastAsia="Times New Roman" w:cs="Times New Roman"/>
          <w:color w:val="00000A"/>
          <w:lang w:val="es-AR" w:eastAsia="pl-PL"/>
        </w:rPr>
        <w:t xml:space="preserve">En este trabajo se analiza el comportamiento dinámico del amortiguador mediante un modelo de elementos finitos no lineal implementado en el software </w:t>
      </w:r>
      <w:proofErr w:type="spellStart"/>
      <w:r w:rsidRPr="00B51564">
        <w:rPr>
          <w:rFonts w:eastAsia="Times New Roman" w:cs="Times New Roman"/>
          <w:color w:val="00000A"/>
          <w:lang w:val="es-AR" w:eastAsia="pl-PL"/>
        </w:rPr>
        <w:t>CodeAster</w:t>
      </w:r>
      <w:proofErr w:type="spellEnd"/>
      <w:r>
        <w:rPr>
          <w:rFonts w:eastAsia="Times New Roman" w:cs="Times New Roman"/>
          <w:color w:val="00000A"/>
          <w:lang w:val="es-AR" w:eastAsia="pl-PL"/>
        </w:rPr>
        <w:t xml:space="preserve"> </w:t>
      </w:r>
      <w:r w:rsidRPr="007A212D">
        <w:rPr>
          <w:rFonts w:eastAsia="Times New Roman" w:cs="Times New Roman"/>
          <w:color w:val="00000A"/>
          <w:lang w:val="es-ES" w:eastAsia="pl-PL"/>
        </w:rPr>
        <w:t>[1</w:t>
      </w:r>
      <w:r>
        <w:rPr>
          <w:rFonts w:eastAsia="Times New Roman" w:cs="Times New Roman"/>
          <w:color w:val="00000A"/>
          <w:lang w:val="es-ES" w:eastAsia="pl-PL"/>
        </w:rPr>
        <w:t>3</w:t>
      </w:r>
      <w:r w:rsidRPr="007A212D">
        <w:rPr>
          <w:rFonts w:eastAsia="Times New Roman" w:cs="Times New Roman"/>
          <w:color w:val="00000A"/>
          <w:lang w:val="es-ES" w:eastAsia="pl-PL"/>
        </w:rPr>
        <w:t>]</w:t>
      </w:r>
      <w:r w:rsidRPr="007A212D">
        <w:rPr>
          <w:rFonts w:eastAsia="Times New Roman" w:cs="Times New Roman"/>
          <w:color w:val="00000A"/>
          <w:lang w:val="es-AR" w:eastAsia="pl-PL"/>
        </w:rPr>
        <w:t>.</w:t>
      </w:r>
      <w:r>
        <w:rPr>
          <w:rFonts w:eastAsia="Times New Roman" w:cs="Times New Roman"/>
          <w:color w:val="00000A"/>
          <w:lang w:val="es-AR" w:eastAsia="pl-PL"/>
        </w:rPr>
        <w:t xml:space="preserve"> </w:t>
      </w:r>
      <w:r w:rsidRPr="00B51564">
        <w:rPr>
          <w:rFonts w:eastAsia="Times New Roman" w:cs="Times New Roman"/>
          <w:color w:val="00000A"/>
          <w:lang w:val="es-AR" w:eastAsia="pl-PL"/>
        </w:rPr>
        <w:t>El modelo emplea</w:t>
      </w:r>
      <w:r>
        <w:rPr>
          <w:rFonts w:eastAsia="Times New Roman" w:cs="Times New Roman"/>
          <w:color w:val="00000A"/>
          <w:lang w:val="es-AR" w:eastAsia="pl-PL"/>
        </w:rPr>
        <w:t xml:space="preserve"> como método de resolución</w:t>
      </w:r>
      <w:r w:rsidRPr="00B51564">
        <w:rPr>
          <w:rFonts w:eastAsia="Times New Roman" w:cs="Times New Roman"/>
          <w:color w:val="00000A"/>
          <w:lang w:val="es-AR" w:eastAsia="pl-PL"/>
        </w:rPr>
        <w:t xml:space="preserve"> el esquema </w:t>
      </w:r>
      <w:proofErr w:type="spellStart"/>
      <w:r w:rsidRPr="00B51564">
        <w:rPr>
          <w:rFonts w:eastAsia="Times New Roman" w:cs="Times New Roman"/>
          <w:color w:val="00000A"/>
          <w:lang w:val="es-AR" w:eastAsia="pl-PL"/>
        </w:rPr>
        <w:t>Newmark</w:t>
      </w:r>
      <w:proofErr w:type="spellEnd"/>
      <w:r w:rsidRPr="00B51564">
        <w:rPr>
          <w:rFonts w:eastAsia="Times New Roman" w:cs="Times New Roman"/>
          <w:color w:val="00000A"/>
          <w:lang w:val="es-AR" w:eastAsia="pl-PL"/>
        </w:rPr>
        <w:t>-beta para la integración directa en el tiempo</w:t>
      </w:r>
      <w:r>
        <w:rPr>
          <w:rFonts w:eastAsia="Times New Roman" w:cs="Times New Roman"/>
          <w:color w:val="00000A"/>
          <w:lang w:val="es-AR" w:eastAsia="pl-PL"/>
        </w:rPr>
        <w:t xml:space="preserve"> </w:t>
      </w:r>
      <w:bookmarkStart w:id="2" w:name="_Hlk112497904"/>
      <w:r w:rsidRPr="007A212D">
        <w:rPr>
          <w:rFonts w:eastAsia="Times New Roman" w:cs="Times New Roman"/>
          <w:color w:val="00000A"/>
          <w:lang w:val="es-ES" w:eastAsia="pl-PL"/>
        </w:rPr>
        <w:t>[1</w:t>
      </w:r>
      <w:r>
        <w:rPr>
          <w:rFonts w:eastAsia="Times New Roman" w:cs="Times New Roman"/>
          <w:color w:val="00000A"/>
          <w:lang w:val="es-ES" w:eastAsia="pl-PL"/>
        </w:rPr>
        <w:t>4</w:t>
      </w:r>
      <w:r w:rsidRPr="007A212D">
        <w:rPr>
          <w:rFonts w:eastAsia="Times New Roman" w:cs="Times New Roman"/>
          <w:color w:val="00000A"/>
          <w:lang w:val="es-ES" w:eastAsia="pl-PL"/>
        </w:rPr>
        <w:t>]</w:t>
      </w:r>
      <w:r w:rsidRPr="007A212D">
        <w:rPr>
          <w:rFonts w:eastAsia="Times New Roman" w:cs="Times New Roman"/>
          <w:color w:val="00000A"/>
          <w:lang w:val="es-AR" w:eastAsia="pl-PL"/>
        </w:rPr>
        <w:t>.</w:t>
      </w:r>
      <w:bookmarkEnd w:id="2"/>
    </w:p>
    <w:p w14:paraId="36434F70" w14:textId="0D12952D" w:rsidR="00A938AB" w:rsidRDefault="00A938AB" w:rsidP="00A938AB">
      <w:pPr>
        <w:rPr>
          <w:rFonts w:eastAsia="Times New Roman" w:cs="Times New Roman"/>
          <w:color w:val="00000A"/>
          <w:lang w:val="es-AR" w:eastAsia="pl-PL"/>
        </w:rPr>
      </w:pPr>
      <w:r w:rsidRPr="00B51564">
        <w:rPr>
          <w:rFonts w:eastAsia="Times New Roman" w:cs="Times New Roman"/>
          <w:color w:val="00000A"/>
          <w:lang w:val="es-AR" w:eastAsia="pl-PL"/>
        </w:rPr>
        <w:t xml:space="preserve">La rigidez a la flexión de cada elemento en un tiempo dado depende de la curvatura como fue definido precedentemente. Bajo una carga cíclica, se </w:t>
      </w:r>
      <w:r w:rsidR="00F6647F">
        <w:rPr>
          <w:rFonts w:eastAsia="Times New Roman" w:cs="Times New Roman"/>
          <w:color w:val="00000A"/>
          <w:lang w:val="es-AR" w:eastAsia="pl-PL"/>
        </w:rPr>
        <w:t>observa un comportamiento histerético</w:t>
      </w:r>
      <w:r w:rsidRPr="00B51564">
        <w:rPr>
          <w:rFonts w:eastAsia="Times New Roman" w:cs="Times New Roman"/>
          <w:color w:val="00000A"/>
          <w:lang w:val="es-AR" w:eastAsia="pl-PL"/>
        </w:rPr>
        <w:t xml:space="preserve">, responsable de la disipación de energía del sistema. </w:t>
      </w:r>
    </w:p>
    <w:p w14:paraId="2142EEF6" w14:textId="4F4B59CC" w:rsidR="009B4D5F" w:rsidRDefault="00A938AB" w:rsidP="00A938AB">
      <w:pPr>
        <w:rPr>
          <w:rFonts w:eastAsia="Times New Roman" w:cs="Times New Roman"/>
          <w:color w:val="00000A"/>
          <w:lang w:val="es-AR" w:eastAsia="pl-PL"/>
        </w:rPr>
      </w:pPr>
      <w:r w:rsidRPr="00B51564">
        <w:rPr>
          <w:rFonts w:eastAsia="Times New Roman" w:cs="Times New Roman"/>
          <w:color w:val="00000A"/>
          <w:lang w:val="es-AR" w:eastAsia="pl-PL"/>
        </w:rPr>
        <w:t xml:space="preserve">Con el objetivo de modelar el cable mensajero del amortiguador, se superponen diversos niveles de vigas en cada subdivisión de la malla. La primera viga tiene un comportamiento elástico, mientras que las siguientes tienen un comportamiento </w:t>
      </w:r>
      <w:proofErr w:type="spellStart"/>
      <w:r w:rsidRPr="00B51564">
        <w:rPr>
          <w:rFonts w:eastAsia="Times New Roman" w:cs="Times New Roman"/>
          <w:color w:val="00000A"/>
          <w:lang w:val="es-AR" w:eastAsia="pl-PL"/>
        </w:rPr>
        <w:t>elasto</w:t>
      </w:r>
      <w:proofErr w:type="spellEnd"/>
      <w:r>
        <w:rPr>
          <w:rFonts w:eastAsia="Times New Roman" w:cs="Times New Roman"/>
          <w:color w:val="00000A"/>
          <w:lang w:val="es-AR" w:eastAsia="pl-PL"/>
        </w:rPr>
        <w:t>-</w:t>
      </w:r>
      <w:r w:rsidRPr="00B51564">
        <w:rPr>
          <w:rFonts w:eastAsia="Times New Roman" w:cs="Times New Roman"/>
          <w:color w:val="00000A"/>
          <w:lang w:val="es-AR" w:eastAsia="pl-PL"/>
        </w:rPr>
        <w:t>plástico ideal. Los parámetros (rigidez a la flexión y momentos límites) de cada viga, producen el comportamiento no lineal que proporciona la rigidez y amortiguamiento adecuados al sistema.</w:t>
      </w:r>
    </w:p>
    <w:p w14:paraId="68D50F6B" w14:textId="77777777" w:rsidR="00413EAA" w:rsidRPr="00322F16" w:rsidRDefault="00413EAA" w:rsidP="00A938AB">
      <w:pPr>
        <w:rPr>
          <w:noProof/>
        </w:rPr>
      </w:pPr>
    </w:p>
    <w:p w14:paraId="1FD624D1" w14:textId="77777777" w:rsidR="009B4D5F" w:rsidRPr="00322F16" w:rsidRDefault="009B4D5F" w:rsidP="002E2C39">
      <w:pPr>
        <w:rPr>
          <w:noProof/>
        </w:rPr>
      </w:pPr>
    </w:p>
    <w:p w14:paraId="59A7D786" w14:textId="6EE06E50" w:rsidR="008C7C81" w:rsidRDefault="00A938AB" w:rsidP="00D27DB6">
      <w:pPr>
        <w:pStyle w:val="Ttulo2"/>
      </w:pPr>
      <w:r>
        <w:lastRenderedPageBreak/>
        <w:t>Descripción</w:t>
      </w:r>
      <w:r>
        <w:rPr>
          <w:lang w:val="es-AR"/>
        </w:rPr>
        <w:t xml:space="preserve"> del Modelo Estocástico</w:t>
      </w:r>
      <w:r w:rsidR="00D27DB6">
        <w:t xml:space="preserve"> </w:t>
      </w:r>
    </w:p>
    <w:p w14:paraId="6A76338E" w14:textId="6E1262E8" w:rsidR="00D27DB6" w:rsidRDefault="00D27DB6" w:rsidP="00D27DB6"/>
    <w:p w14:paraId="674E440E" w14:textId="5C5BE313" w:rsidR="00A938AB" w:rsidRDefault="00A938AB" w:rsidP="00A938AB">
      <w:pPr>
        <w:rPr>
          <w:lang w:val="es-AR"/>
        </w:rPr>
      </w:pPr>
      <w:r w:rsidRPr="005F69D5">
        <w:rPr>
          <w:lang w:val="es-AR"/>
        </w:rPr>
        <w:t xml:space="preserve">La técnica de los problemas inversos se aplica cuando </w:t>
      </w:r>
      <w:r>
        <w:rPr>
          <w:lang w:val="es-AR"/>
        </w:rPr>
        <w:t>existen</w:t>
      </w:r>
      <w:r w:rsidRPr="005F69D5">
        <w:rPr>
          <w:lang w:val="es-AR"/>
        </w:rPr>
        <w:t xml:space="preserve"> parámetros desconocidos</w:t>
      </w:r>
      <w:r>
        <w:rPr>
          <w:lang w:val="es-AR"/>
        </w:rPr>
        <w:t xml:space="preserve"> </w:t>
      </w:r>
      <w:r w:rsidRPr="005F69D5">
        <w:rPr>
          <w:lang w:val="es-AR"/>
        </w:rPr>
        <w:t>en un modelo computacional</w:t>
      </w:r>
      <w:r>
        <w:rPr>
          <w:lang w:val="es-AR"/>
        </w:rPr>
        <w:t>, los cuales no se pueden medir directamente</w:t>
      </w:r>
      <w:r w:rsidRPr="005F69D5">
        <w:rPr>
          <w:lang w:val="es-AR"/>
        </w:rPr>
        <w:t>.</w:t>
      </w:r>
      <w:r>
        <w:rPr>
          <w:lang w:val="es-AR"/>
        </w:rPr>
        <w:t xml:space="preserve"> </w:t>
      </w:r>
      <w:r w:rsidRPr="005F69D5">
        <w:rPr>
          <w:lang w:val="es-AR"/>
        </w:rPr>
        <w:t>Estos problemas se componen de un modelo de cálculo hacia adelante</w:t>
      </w:r>
      <w:r>
        <w:t xml:space="preserve"> </w:t>
      </w:r>
      <m:oMath>
        <m:r>
          <w:rPr>
            <w:rFonts w:ascii="Cambria Math" w:hAnsi="Cambria Math"/>
          </w:rPr>
          <m:t>M</m:t>
        </m:r>
      </m:oMath>
      <w:r w:rsidRPr="005F69D5">
        <w:rPr>
          <w:lang w:val="es-AR"/>
        </w:rPr>
        <w:t>, un conjunto de parámetros de entrada</w:t>
      </w:r>
      <w:r>
        <w:rPr>
          <w:lang w:val="es-AR"/>
        </w:rPr>
        <w:t xml:space="preserve"> a inferir</w:t>
      </w:r>
      <w:r w:rsidRPr="005F69D5">
        <w:rPr>
          <w:lang w:val="es-AR"/>
        </w:rPr>
        <w:t xml:space="preserve"> </w:t>
      </w:r>
      <m:oMath>
        <m:r>
          <w:rPr>
            <w:rFonts w:ascii="Cambria Math" w:hAnsi="Cambria Math"/>
            <w:lang w:val="es-AR"/>
          </w:rPr>
          <m:t>(x∈</m:t>
        </m:r>
        <m:sSub>
          <m:sSubPr>
            <m:ctrlPr>
              <w:rPr>
                <w:rFonts w:ascii="Cambria Math" w:hAnsi="Cambria Math"/>
                <w:i/>
                <w:lang w:val="es-AR"/>
              </w:rPr>
            </m:ctrlPr>
          </m:sSubPr>
          <m:e>
            <m:r>
              <w:rPr>
                <w:rFonts w:ascii="Cambria Math" w:hAnsi="Cambria Math"/>
                <w:lang w:val="es-AR"/>
              </w:rPr>
              <m:t>D</m:t>
            </m:r>
          </m:e>
          <m:sub>
            <m:r>
              <w:rPr>
                <w:rFonts w:ascii="Cambria Math" w:hAnsi="Cambria Math"/>
                <w:lang w:val="es-AR"/>
              </w:rPr>
              <m:t>x</m:t>
            </m:r>
          </m:sub>
        </m:sSub>
      </m:oMath>
      <w:r>
        <w:rPr>
          <w:rFonts w:eastAsiaTheme="minorEastAsia"/>
          <w:lang w:val="es-AR"/>
        </w:rPr>
        <w:t>)</w:t>
      </w:r>
      <w:r w:rsidRPr="005F69D5">
        <w:rPr>
          <w:lang w:val="es-AR"/>
        </w:rPr>
        <w:t xml:space="preserve"> y un conjunto de datos experimentales (</w:t>
      </w:r>
      <m:oMath>
        <m:r>
          <w:rPr>
            <w:rFonts w:ascii="Cambria Math"/>
          </w:rPr>
          <m:t>y</m:t>
        </m:r>
        <m:r>
          <w:rPr>
            <w:rFonts w:ascii="Cambria Math"/>
          </w:rPr>
          <m:t> </m:t>
        </m:r>
        <m:r>
          <w:rPr>
            <w:rFonts w:ascii="Cambria Math" w:hAnsi="Cambria Math" w:cs="Cambria Math"/>
          </w:rPr>
          <m:t>∈</m:t>
        </m:r>
        <m:sSup>
          <m:sSupPr>
            <m:ctrlPr>
              <w:rPr>
                <w:rFonts w:ascii="Cambria Math" w:hAnsi="Cambria Math"/>
                <w:i/>
              </w:rPr>
            </m:ctrlPr>
          </m:sSupPr>
          <m:e>
            <m:r>
              <w:rPr>
                <w:rFonts w:ascii="Cambria Math"/>
              </w:rPr>
              <m:t>R</m:t>
            </m:r>
          </m:e>
          <m:sup>
            <m:r>
              <w:rPr>
                <w:rFonts w:ascii="Cambria Math"/>
              </w:rPr>
              <m:t>N</m:t>
            </m:r>
          </m:sup>
        </m:sSup>
      </m:oMath>
      <w:r w:rsidRPr="005F69D5">
        <w:rPr>
          <w:lang w:val="es-AR"/>
        </w:rPr>
        <w:t xml:space="preserve">), donde </w:t>
      </w:r>
      <w:r w:rsidR="00B72243" w:rsidRPr="005F69D5">
        <w:rPr>
          <w:position w:val="-6"/>
        </w:rPr>
        <w:object w:dxaOrig="279" w:dyaOrig="279" w14:anchorId="7AAD5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2.5pt" o:ole="">
            <v:imagedata r:id="rId14" o:title=""/>
          </v:shape>
          <o:OLEObject Type="Embed" ProgID="Equation.DSMT4" ShapeID="_x0000_i1025" DrawAspect="Content" ObjectID="_1725721563" r:id="rId15"/>
        </w:object>
      </w:r>
      <w:r w:rsidRPr="005F69D5">
        <w:rPr>
          <w:lang w:val="es-AR"/>
        </w:rPr>
        <w:t xml:space="preserve"> es el número de mediciones independientes</w:t>
      </w:r>
      <w:r>
        <w:rPr>
          <w:lang w:val="es-AR"/>
        </w:rPr>
        <w:t xml:space="preserve"> </w:t>
      </w:r>
      <w:bookmarkStart w:id="3" w:name="_Hlk112497909"/>
      <w:r w:rsidRPr="007A212D">
        <w:rPr>
          <w:rFonts w:eastAsia="Times New Roman" w:cs="Times New Roman"/>
          <w:color w:val="00000A"/>
          <w:lang w:val="es-ES" w:eastAsia="pl-PL"/>
        </w:rPr>
        <w:t>[1</w:t>
      </w:r>
      <w:r>
        <w:rPr>
          <w:rFonts w:eastAsia="Times New Roman" w:cs="Times New Roman"/>
          <w:color w:val="00000A"/>
          <w:lang w:val="es-ES" w:eastAsia="pl-PL"/>
        </w:rPr>
        <w:t>5</w:t>
      </w:r>
      <w:r w:rsidRPr="007A212D">
        <w:rPr>
          <w:rFonts w:eastAsia="Times New Roman" w:cs="Times New Roman"/>
          <w:color w:val="00000A"/>
          <w:lang w:val="es-ES" w:eastAsia="pl-PL"/>
        </w:rPr>
        <w:t>]</w:t>
      </w:r>
      <w:bookmarkEnd w:id="3"/>
      <w:r w:rsidRPr="007A212D">
        <w:rPr>
          <w:rFonts w:eastAsia="Times New Roman" w:cs="Times New Roman"/>
          <w:color w:val="00000A"/>
          <w:lang w:val="es-AR" w:eastAsia="pl-PL"/>
        </w:rPr>
        <w:t>.</w:t>
      </w:r>
      <w:r w:rsidRPr="005F69D5">
        <w:rPr>
          <w:lang w:val="es-AR"/>
        </w:rPr>
        <w:t xml:space="preserve"> </w:t>
      </w:r>
    </w:p>
    <w:p w14:paraId="4095C9D8" w14:textId="77777777" w:rsidR="00A938AB" w:rsidRDefault="00A938AB" w:rsidP="00A938AB">
      <w:pPr>
        <w:rPr>
          <w:lang w:val="es-A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551"/>
      </w:tblGrid>
      <w:tr w:rsidR="00A938AB" w14:paraId="35C3A4B8" w14:textId="77777777" w:rsidTr="00A938AB">
        <w:tc>
          <w:tcPr>
            <w:tcW w:w="3698" w:type="dxa"/>
          </w:tcPr>
          <w:p w14:paraId="4D6D2781" w14:textId="1417DDF3" w:rsidR="00A938AB" w:rsidRPr="005F69D5" w:rsidRDefault="00A938AB" w:rsidP="00746AFC">
            <w:pPr>
              <w:jc w:val="center"/>
              <w:rPr>
                <w:lang w:val="es-AR"/>
              </w:rPr>
            </w:pPr>
            <m:oMathPara>
              <m:oMath>
                <m:r>
                  <w:rPr>
                    <w:rFonts w:ascii="Cambria Math" w:hAnsi="Cambria Math"/>
                  </w:rPr>
                  <m:t>y=M</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φ</m:t>
                </m:r>
              </m:oMath>
            </m:oMathPara>
          </w:p>
        </w:tc>
        <w:tc>
          <w:tcPr>
            <w:tcW w:w="551" w:type="dxa"/>
          </w:tcPr>
          <w:p w14:paraId="6F915701" w14:textId="77777777" w:rsidR="00A938AB" w:rsidRDefault="00A938AB" w:rsidP="00673113">
            <w:pPr>
              <w:jc w:val="right"/>
            </w:pPr>
            <w:r>
              <w:t>(6)</w:t>
            </w:r>
          </w:p>
        </w:tc>
      </w:tr>
    </w:tbl>
    <w:p w14:paraId="2D92FB24" w14:textId="77777777" w:rsidR="00A938AB" w:rsidRPr="005F69D5" w:rsidRDefault="00A938AB" w:rsidP="00A938AB">
      <w:pPr>
        <w:rPr>
          <w:lang w:val="es-AR"/>
        </w:rPr>
      </w:pPr>
    </w:p>
    <w:p w14:paraId="7AB954D0" w14:textId="0EEFA362" w:rsidR="00A938AB" w:rsidRDefault="00A938AB" w:rsidP="00A938AB">
      <w:pPr>
        <w:rPr>
          <w:lang w:val="es-AR"/>
        </w:rPr>
      </w:pPr>
      <w:r w:rsidRPr="00A33950">
        <w:rPr>
          <w:lang w:val="es-AR"/>
        </w:rPr>
        <w:t xml:space="preserve">En efecto, el modelo </w:t>
      </w:r>
      <m:oMath>
        <m:r>
          <w:rPr>
            <w:rFonts w:ascii="Cambria Math" w:hAnsi="Cambria Math"/>
            <w:lang w:val="es-AR"/>
          </w:rPr>
          <m:t>(M→x</m:t>
        </m:r>
      </m:oMath>
      <w:r w:rsidRPr="00A33950">
        <w:rPr>
          <w:lang w:val="es-AR"/>
        </w:rPr>
        <w:t xml:space="preserve">)  es la representación matemática del sistema. El término </w:t>
      </w:r>
      <m:oMath>
        <m:r>
          <w:rPr>
            <w:rFonts w:ascii="Cambria Math" w:hAnsi="Cambria Math"/>
            <w:lang w:val="es-AR"/>
          </w:rPr>
          <m:t>φ</m:t>
        </m:r>
      </m:oMath>
      <w:r w:rsidRPr="00A33950">
        <w:rPr>
          <w:lang w:val="es-AR"/>
        </w:rPr>
        <w:t>, describe la discrepancia entre una observación experimental y la predicción del modelo.</w:t>
      </w:r>
      <w:r>
        <w:rPr>
          <w:lang w:val="es-AR"/>
        </w:rPr>
        <w:t xml:space="preserve"> </w:t>
      </w:r>
    </w:p>
    <w:p w14:paraId="32F7AD5E" w14:textId="2BEF7B1E" w:rsidR="00A938AB" w:rsidRDefault="00A938AB" w:rsidP="00A938AB">
      <w:pPr>
        <w:rPr>
          <w:lang w:val="es-AR"/>
        </w:rPr>
      </w:pPr>
      <w:r w:rsidRPr="00A33950">
        <w:rPr>
          <w:lang w:val="es-AR"/>
        </w:rPr>
        <w:t>En la calibración bayesiana se actuali</w:t>
      </w:r>
      <w:bookmarkStart w:id="4" w:name="_GoBack"/>
      <w:bookmarkEnd w:id="4"/>
      <w:r w:rsidRPr="00A33950">
        <w:rPr>
          <w:lang w:val="es-AR"/>
        </w:rPr>
        <w:t xml:space="preserve">za iterativamente una distribución a priori de un parámetro del modelo con una función de probabilidad y los datos experimentales. En este caso, las variables estocásticas del modelo son la rigidez a la flexión de las capas externas </w:t>
      </w:r>
      <m:oMath>
        <m:r>
          <m:rPr>
            <m:sty m:val="p"/>
          </m:rPr>
          <w:rPr>
            <w:rFonts w:ascii="Cambria Math" w:hAnsi="Cambria Math"/>
            <w:lang w:val="es-AR"/>
          </w:rPr>
          <m:t>(</m:t>
        </m:r>
        <m:r>
          <w:rPr>
            <w:rFonts w:ascii="Cambria Math" w:hAnsi="Cambria Math"/>
            <w:lang w:val="es-AR"/>
          </w:rPr>
          <m:t>μ</m:t>
        </m:r>
        <m:r>
          <m:rPr>
            <m:sty m:val="p"/>
          </m:rPr>
          <w:rPr>
            <w:rFonts w:ascii="Cambria Math" w:hAnsi="Cambria Math"/>
            <w:lang w:val="es-AR"/>
          </w:rPr>
          <m:t>)</m:t>
        </m:r>
      </m:oMath>
      <w:r w:rsidRPr="00A33950">
        <w:rPr>
          <w:lang w:val="es-AR"/>
        </w:rPr>
        <w:t xml:space="preserve"> y el núcleo del cable mensajero </w:t>
      </w:r>
      <m:oMath>
        <m:r>
          <m:rPr>
            <m:sty m:val="p"/>
          </m:rPr>
          <w:rPr>
            <w:rFonts w:ascii="Cambria Math" w:hAnsi="Cambria Math"/>
            <w:lang w:val="es-AR"/>
          </w:rPr>
          <m:t>(</m:t>
        </m:r>
        <m:r>
          <w:rPr>
            <w:rFonts w:ascii="Cambria Math" w:hAnsi="Cambria Math"/>
            <w:lang w:val="es-AR"/>
          </w:rPr>
          <m:t>δ</m:t>
        </m:r>
        <m:r>
          <m:rPr>
            <m:sty m:val="p"/>
          </m:rPr>
          <w:rPr>
            <w:rFonts w:ascii="Cambria Math" w:hAnsi="Cambria Math"/>
            <w:lang w:val="es-AR"/>
          </w:rPr>
          <m:t>)</m:t>
        </m:r>
      </m:oMath>
      <w:r w:rsidRPr="00A33950">
        <w:rPr>
          <w:lang w:val="es-AR"/>
        </w:rPr>
        <w:t xml:space="preserve"> y los momentos límites de las capas superiores del mismo (</w:t>
      </w:r>
      <m:oMath>
        <m:r>
          <w:rPr>
            <w:rFonts w:ascii="Cambria Math" w:hAnsi="Cambria Math"/>
            <w:lang w:val="es-AR"/>
          </w:rPr>
          <m:t>λ</m:t>
        </m:r>
      </m:oMath>
      <w:r w:rsidRPr="00A33950">
        <w:rPr>
          <w:lang w:val="es-AR"/>
        </w:rPr>
        <w:t>). Asimismo, la excentricidad de la masa (</w:t>
      </w:r>
      <m:oMath>
        <m:r>
          <w:rPr>
            <w:rFonts w:ascii="Cambria Math" w:hAnsi="Cambria Math"/>
            <w:lang w:val="es-AR"/>
          </w:rPr>
          <m:t>ϵ</m:t>
        </m:r>
      </m:oMath>
      <w:r w:rsidRPr="00A33950">
        <w:rPr>
          <w:lang w:val="es-AR"/>
        </w:rPr>
        <w:t xml:space="preserve">) es también considerada de naturaleza estocástica. </w:t>
      </w:r>
    </w:p>
    <w:p w14:paraId="62C2C816" w14:textId="77777777" w:rsidR="00A938AB" w:rsidRDefault="00A938AB" w:rsidP="00A938AB">
      <w:pPr>
        <w:rPr>
          <w:lang w:val="es-AR"/>
        </w:rPr>
      </w:pPr>
      <w:r w:rsidRPr="00A33950">
        <w:rPr>
          <w:lang w:val="es-AR"/>
        </w:rPr>
        <w:t>En base a lo explicitado anteriormente, se usa el Principio de Máxima Entropía, debido a que el mismo permite la construcción de las funciones de densidad de probabilidad (PDF) de las variables aleatorias garantizando la consistencia</w:t>
      </w:r>
      <w:r>
        <w:rPr>
          <w:lang w:val="es-AR"/>
        </w:rPr>
        <w:t xml:space="preserve">, </w:t>
      </w:r>
      <w:r w:rsidRPr="00A33950">
        <w:rPr>
          <w:lang w:val="es-AR"/>
        </w:rPr>
        <w:t>con la información disponible</w:t>
      </w:r>
      <w:r>
        <w:rPr>
          <w:lang w:val="es-AR"/>
        </w:rPr>
        <w:t>,</w:t>
      </w:r>
      <w:r w:rsidRPr="00A33950">
        <w:rPr>
          <w:lang w:val="es-AR"/>
        </w:rPr>
        <w:t xml:space="preserve"> y la física del problema. Todas las variables se consideraron a priori uniformes. </w:t>
      </w:r>
    </w:p>
    <w:p w14:paraId="6582E522" w14:textId="77777777" w:rsidR="00A938AB" w:rsidRDefault="00A938AB" w:rsidP="00A938AB">
      <w:pPr>
        <w:rPr>
          <w:lang w:val="es-AR"/>
        </w:rPr>
      </w:pPr>
      <w:r>
        <w:rPr>
          <w:lang w:val="es-AR"/>
        </w:rPr>
        <w:lastRenderedPageBreak/>
        <w:t>En este trabajo</w:t>
      </w:r>
      <w:r w:rsidRPr="00A33950">
        <w:rPr>
          <w:lang w:val="es-AR"/>
        </w:rPr>
        <w:t xml:space="preserve">, se implementó el procedimiento </w:t>
      </w:r>
      <w:r>
        <w:rPr>
          <w:lang w:val="es-AR"/>
        </w:rPr>
        <w:t>detallado</w:t>
      </w:r>
      <w:r w:rsidRPr="00A33950">
        <w:rPr>
          <w:lang w:val="es-AR"/>
        </w:rPr>
        <w:t xml:space="preserve"> en el esquema de la Figura 3. Los datos experimentales se utilizan para propagar la información hacia atrás con el objetivo de estimar las entradas del modelo. Para la calibración de este, se propuso un problema de inversión bayesiano, utilizando una simulación de </w:t>
      </w:r>
      <w:proofErr w:type="spellStart"/>
      <w:r w:rsidRPr="00A33950">
        <w:rPr>
          <w:lang w:val="es-AR"/>
        </w:rPr>
        <w:t>Markov</w:t>
      </w:r>
      <w:proofErr w:type="spellEnd"/>
      <w:r w:rsidRPr="00A33950">
        <w:rPr>
          <w:lang w:val="es-AR"/>
        </w:rPr>
        <w:t xml:space="preserve"> </w:t>
      </w:r>
      <w:proofErr w:type="spellStart"/>
      <w:r w:rsidRPr="00A33950">
        <w:rPr>
          <w:lang w:val="es-AR"/>
        </w:rPr>
        <w:t>Chain</w:t>
      </w:r>
      <w:proofErr w:type="spellEnd"/>
      <w:r w:rsidRPr="00A33950">
        <w:rPr>
          <w:lang w:val="es-AR"/>
        </w:rPr>
        <w:t xml:space="preserve"> Monte Carlo (MCMC), donde se aplicó el algoritmo </w:t>
      </w:r>
      <w:proofErr w:type="spellStart"/>
      <w:r w:rsidRPr="00A33950">
        <w:rPr>
          <w:lang w:val="es-AR"/>
        </w:rPr>
        <w:t>Metropolis</w:t>
      </w:r>
      <w:proofErr w:type="spellEnd"/>
      <w:r w:rsidRPr="00A33950">
        <w:rPr>
          <w:lang w:val="es-AR"/>
        </w:rPr>
        <w:t>-Hastings</w:t>
      </w:r>
      <w:r>
        <w:rPr>
          <w:lang w:val="es-AR"/>
        </w:rPr>
        <w:t xml:space="preserve"> a través de su implementación en el software </w:t>
      </w:r>
      <w:proofErr w:type="spellStart"/>
      <w:r>
        <w:rPr>
          <w:lang w:val="es-AR"/>
        </w:rPr>
        <w:t>UQLab</w:t>
      </w:r>
      <w:proofErr w:type="spellEnd"/>
      <w:r>
        <w:rPr>
          <w:lang w:val="es-AR"/>
        </w:rPr>
        <w:t xml:space="preserve"> </w:t>
      </w:r>
      <w:r w:rsidRPr="00D05E47">
        <w:rPr>
          <w:lang w:val="es-AR"/>
        </w:rPr>
        <w:t>[</w:t>
      </w:r>
      <w:r>
        <w:rPr>
          <w:lang w:val="es-AR"/>
        </w:rPr>
        <w:t>16</w:t>
      </w:r>
      <w:r w:rsidRPr="00D05E47">
        <w:rPr>
          <w:lang w:val="es-AR"/>
        </w:rPr>
        <w:t>]</w:t>
      </w:r>
      <w:r>
        <w:rPr>
          <w:lang w:val="es-AR"/>
        </w:rPr>
        <w:t>.</w:t>
      </w:r>
    </w:p>
    <w:p w14:paraId="699D2DD4" w14:textId="77777777" w:rsidR="00A938AB" w:rsidRDefault="00A938AB" w:rsidP="00A938AB">
      <w:pPr>
        <w:rPr>
          <w:lang w:val="es-AR"/>
        </w:rPr>
      </w:pPr>
      <w:r>
        <w:rPr>
          <w:lang w:val="es-AR"/>
        </w:rPr>
        <w:t xml:space="preserve">El proceso descripto </w:t>
      </w:r>
      <w:r w:rsidRPr="00D179E0">
        <w:rPr>
          <w:lang w:val="es-AR"/>
        </w:rPr>
        <w:t>suele requerir un gran número de iteraciones del modelo</w:t>
      </w:r>
      <w:r>
        <w:rPr>
          <w:lang w:val="es-AR"/>
        </w:rPr>
        <w:t xml:space="preserve"> determinístico</w:t>
      </w:r>
      <w:r w:rsidRPr="00D179E0">
        <w:rPr>
          <w:lang w:val="es-AR"/>
        </w:rPr>
        <w:t xml:space="preserve"> para diferentes valores de los parámetros de entrada</w:t>
      </w:r>
      <w:r>
        <w:rPr>
          <w:lang w:val="es-AR"/>
        </w:rPr>
        <w:t xml:space="preserve">. Con el objetivo de disminuir el costo computacional asociado a este proceso se consideró necesaria la implementación de un </w:t>
      </w:r>
      <w:proofErr w:type="spellStart"/>
      <w:r>
        <w:rPr>
          <w:lang w:val="es-AR"/>
        </w:rPr>
        <w:t>metamodelo</w:t>
      </w:r>
      <w:proofErr w:type="spellEnd"/>
      <w:r>
        <w:rPr>
          <w:lang w:val="es-AR"/>
        </w:rPr>
        <w:t xml:space="preserve"> para evaluar el comportamiento dinámico del amortiguador. </w:t>
      </w:r>
      <w:r w:rsidRPr="002A38E1">
        <w:rPr>
          <w:lang w:val="es-AR"/>
        </w:rPr>
        <w:t xml:space="preserve">En la literatura </w:t>
      </w:r>
      <w:r>
        <w:rPr>
          <w:lang w:val="es-AR"/>
        </w:rPr>
        <w:t>de referencia,</w:t>
      </w:r>
      <w:r w:rsidRPr="002A38E1">
        <w:rPr>
          <w:lang w:val="es-AR"/>
        </w:rPr>
        <w:t xml:space="preserve"> existe una gran</w:t>
      </w:r>
      <w:r>
        <w:rPr>
          <w:lang w:val="es-AR"/>
        </w:rPr>
        <w:t xml:space="preserve"> </w:t>
      </w:r>
      <w:r w:rsidRPr="002A38E1">
        <w:rPr>
          <w:lang w:val="es-AR"/>
        </w:rPr>
        <w:t xml:space="preserve">variedad de </w:t>
      </w:r>
      <w:proofErr w:type="spellStart"/>
      <w:r w:rsidRPr="002A38E1">
        <w:rPr>
          <w:lang w:val="es-AR"/>
        </w:rPr>
        <w:t>metamodelos</w:t>
      </w:r>
      <w:proofErr w:type="spellEnd"/>
      <w:r w:rsidRPr="002A38E1">
        <w:rPr>
          <w:lang w:val="es-AR"/>
        </w:rPr>
        <w:t xml:space="preserve">, tales como las superficies de respuesta, los modelos </w:t>
      </w:r>
      <w:proofErr w:type="spellStart"/>
      <w:r w:rsidRPr="002A38E1">
        <w:rPr>
          <w:lang w:val="es-AR"/>
        </w:rPr>
        <w:t>Kriging</w:t>
      </w:r>
      <w:proofErr w:type="spellEnd"/>
      <w:r w:rsidRPr="002A38E1">
        <w:rPr>
          <w:lang w:val="es-AR"/>
        </w:rPr>
        <w:t>, las funciones de base radial</w:t>
      </w:r>
      <w:r>
        <w:rPr>
          <w:lang w:val="es-AR"/>
        </w:rPr>
        <w:t xml:space="preserve"> </w:t>
      </w:r>
      <w:r w:rsidRPr="002A38E1">
        <w:rPr>
          <w:lang w:val="es-AR"/>
        </w:rPr>
        <w:t xml:space="preserve">o las redes </w:t>
      </w:r>
      <w:r w:rsidRPr="00283A77">
        <w:rPr>
          <w:lang w:val="es-AR"/>
        </w:rPr>
        <w:t>neuronales [17].</w:t>
      </w:r>
      <w:r w:rsidRPr="002A38E1">
        <w:rPr>
          <w:lang w:val="es-AR"/>
        </w:rPr>
        <w:t xml:space="preserve"> </w:t>
      </w:r>
      <w:r>
        <w:rPr>
          <w:lang w:val="es-AR"/>
        </w:rPr>
        <w:t>En particular</w:t>
      </w:r>
      <w:r w:rsidRPr="002A38E1">
        <w:rPr>
          <w:lang w:val="es-AR"/>
        </w:rPr>
        <w:t xml:space="preserve">, los modelos </w:t>
      </w:r>
      <w:proofErr w:type="spellStart"/>
      <w:r w:rsidRPr="002A38E1">
        <w:rPr>
          <w:lang w:val="es-AR"/>
        </w:rPr>
        <w:t>Kriging</w:t>
      </w:r>
      <w:proofErr w:type="spellEnd"/>
      <w:r w:rsidRPr="002A38E1">
        <w:rPr>
          <w:lang w:val="es-AR"/>
        </w:rPr>
        <w:t xml:space="preserve"> han alcanzado una gran</w:t>
      </w:r>
      <w:r>
        <w:rPr>
          <w:lang w:val="es-AR"/>
        </w:rPr>
        <w:t xml:space="preserve"> </w:t>
      </w:r>
      <w:r w:rsidRPr="002A38E1">
        <w:rPr>
          <w:lang w:val="es-AR"/>
        </w:rPr>
        <w:t>popularidad en los últimos a</w:t>
      </w:r>
      <w:r>
        <w:rPr>
          <w:lang w:val="es-AR"/>
        </w:rPr>
        <w:t>ño</w:t>
      </w:r>
      <w:r w:rsidRPr="002A38E1">
        <w:rPr>
          <w:lang w:val="es-AR"/>
        </w:rPr>
        <w:t>s gracias a su gran flexibilidad para</w:t>
      </w:r>
      <w:r>
        <w:rPr>
          <w:lang w:val="es-AR"/>
        </w:rPr>
        <w:t xml:space="preserve"> </w:t>
      </w:r>
      <w:r w:rsidRPr="002A38E1">
        <w:rPr>
          <w:lang w:val="es-AR"/>
        </w:rPr>
        <w:t xml:space="preserve">aproximar respuestas con alto grado de no linealidad </w:t>
      </w:r>
      <w:r>
        <w:rPr>
          <w:lang w:val="es-AR"/>
        </w:rPr>
        <w:t>proporcionando</w:t>
      </w:r>
      <w:r w:rsidRPr="002A38E1">
        <w:rPr>
          <w:lang w:val="es-AR"/>
        </w:rPr>
        <w:t xml:space="preserve"> información estadística del error cometido en la </w:t>
      </w:r>
      <w:r w:rsidRPr="0050696A">
        <w:rPr>
          <w:lang w:val="es-AR"/>
        </w:rPr>
        <w:t>predicción [18].</w:t>
      </w:r>
    </w:p>
    <w:p w14:paraId="4DF40E1C" w14:textId="77777777" w:rsidR="00A938AB" w:rsidRPr="00500406" w:rsidRDefault="00A938AB" w:rsidP="00A938AB">
      <w:pPr>
        <w:rPr>
          <w:lang w:val="es-AR"/>
        </w:rPr>
      </w:pPr>
      <w:r w:rsidRPr="00500406">
        <w:rPr>
          <w:lang w:val="es-AR"/>
        </w:rPr>
        <w:t xml:space="preserve">La característica de </w:t>
      </w:r>
      <w:proofErr w:type="spellStart"/>
      <w:r w:rsidRPr="00500406">
        <w:rPr>
          <w:lang w:val="es-AR"/>
        </w:rPr>
        <w:t>Kriging</w:t>
      </w:r>
      <w:proofErr w:type="spellEnd"/>
      <w:r w:rsidRPr="00500406">
        <w:rPr>
          <w:lang w:val="es-AR"/>
        </w:rPr>
        <w:t xml:space="preserve"> es interpolar las variaciones locales de la salida</w:t>
      </w:r>
      <w:r>
        <w:rPr>
          <w:lang w:val="es-AR"/>
        </w:rPr>
        <w:t xml:space="preserve"> </w:t>
      </w:r>
      <w:r w:rsidRPr="00500406">
        <w:rPr>
          <w:lang w:val="es-AR"/>
        </w:rPr>
        <w:t>del modelo computacional en función de los puntos de diseño experimentales</w:t>
      </w:r>
      <w:r>
        <w:rPr>
          <w:lang w:val="es-AR"/>
        </w:rPr>
        <w:t xml:space="preserve"> </w:t>
      </w:r>
      <w:r w:rsidRPr="00500406">
        <w:rPr>
          <w:lang w:val="es-AR"/>
        </w:rPr>
        <w:t>vecinos. En cambio, las expansiones polinómicas del caos (PCE) se utilizan para</w:t>
      </w:r>
      <w:r>
        <w:rPr>
          <w:lang w:val="es-AR"/>
        </w:rPr>
        <w:t xml:space="preserve"> </w:t>
      </w:r>
      <w:r w:rsidRPr="00500406">
        <w:rPr>
          <w:lang w:val="es-AR"/>
        </w:rPr>
        <w:t xml:space="preserve">aproximar el comportamiento global de </w:t>
      </w:r>
      <m:oMath>
        <m:r>
          <w:rPr>
            <w:rFonts w:ascii="Cambria Math" w:hAnsi="Cambria Math"/>
            <w:lang w:val="es-AR"/>
          </w:rPr>
          <m:t>M</m:t>
        </m:r>
      </m:oMath>
      <w:r>
        <w:rPr>
          <w:rFonts w:eastAsiaTheme="minorEastAsia"/>
          <w:lang w:val="es-AR"/>
        </w:rPr>
        <w:t xml:space="preserve"> </w:t>
      </w:r>
      <w:r w:rsidRPr="00500406">
        <w:rPr>
          <w:lang w:val="es-AR"/>
        </w:rPr>
        <w:t>utilizando un conjunto de polinomios ortogonales</w:t>
      </w:r>
      <w:r>
        <w:rPr>
          <w:lang w:val="es-AR"/>
        </w:rPr>
        <w:t xml:space="preserve"> </w:t>
      </w:r>
      <w:r w:rsidRPr="007A212D">
        <w:rPr>
          <w:rFonts w:eastAsia="Times New Roman" w:cs="Times New Roman"/>
          <w:color w:val="00000A"/>
          <w:lang w:val="es-ES" w:eastAsia="pl-PL"/>
        </w:rPr>
        <w:t>[</w:t>
      </w:r>
      <w:r>
        <w:rPr>
          <w:rFonts w:eastAsia="Times New Roman" w:cs="Times New Roman"/>
          <w:color w:val="00000A"/>
          <w:lang w:val="es-ES" w:eastAsia="pl-PL"/>
        </w:rPr>
        <w:t>19</w:t>
      </w:r>
      <w:r w:rsidRPr="007A212D">
        <w:rPr>
          <w:rFonts w:eastAsia="Times New Roman" w:cs="Times New Roman"/>
          <w:color w:val="00000A"/>
          <w:lang w:val="es-ES" w:eastAsia="pl-PL"/>
        </w:rPr>
        <w:t>]</w:t>
      </w:r>
      <w:r w:rsidRPr="00500406">
        <w:rPr>
          <w:lang w:val="es-AR"/>
        </w:rPr>
        <w:t>.</w:t>
      </w:r>
    </w:p>
    <w:p w14:paraId="26CE17D3" w14:textId="77777777" w:rsidR="00A938AB" w:rsidRDefault="00A938AB" w:rsidP="00A938AB">
      <w:pPr>
        <w:rPr>
          <w:lang w:val="es-AR"/>
        </w:rPr>
      </w:pPr>
    </w:p>
    <w:p w14:paraId="4B74B05A" w14:textId="77777777" w:rsidR="00A938AB" w:rsidRDefault="00A938AB" w:rsidP="00A938AB">
      <w:pPr>
        <w:rPr>
          <w:lang w:val="es-AR"/>
        </w:rPr>
        <w:sectPr w:rsidR="00A938AB" w:rsidSect="0073610A">
          <w:type w:val="continuous"/>
          <w:pgSz w:w="11906" w:h="16838" w:code="9"/>
          <w:pgMar w:top="1134" w:right="1418" w:bottom="1418" w:left="1418" w:header="1064" w:footer="709" w:gutter="0"/>
          <w:cols w:num="2" w:space="335"/>
          <w:docGrid w:linePitch="360"/>
        </w:sectPr>
      </w:pPr>
    </w:p>
    <w:p w14:paraId="0EB4A216" w14:textId="4A062562" w:rsidR="00A938AB" w:rsidRPr="00146D79" w:rsidRDefault="00A938AB" w:rsidP="00A938AB">
      <w:pPr>
        <w:keepNext/>
        <w:jc w:val="center"/>
      </w:pPr>
      <w:r>
        <w:rPr>
          <w:noProof/>
          <w:lang w:val="es-AR" w:eastAsia="es-AR"/>
        </w:rPr>
        <w:drawing>
          <wp:anchor distT="0" distB="0" distL="114300" distR="114300" simplePos="0" relativeHeight="251659264" behindDoc="0" locked="0" layoutInCell="1" allowOverlap="1" wp14:anchorId="597E03F9" wp14:editId="526B4232">
            <wp:simplePos x="0" y="0"/>
            <wp:positionH relativeFrom="page">
              <wp:posOffset>991235</wp:posOffset>
            </wp:positionH>
            <wp:positionV relativeFrom="paragraph">
              <wp:posOffset>0</wp:posOffset>
            </wp:positionV>
            <wp:extent cx="5533390" cy="3256280"/>
            <wp:effectExtent l="0" t="0" r="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33390" cy="325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Figura </w:t>
      </w:r>
      <w:fldSimple w:instr=" SEQ Figura \* ARABIC ">
        <w:r>
          <w:rPr>
            <w:noProof/>
          </w:rPr>
          <w:t>3</w:t>
        </w:r>
      </w:fldSimple>
      <w:r>
        <w:t>. Diagrama de Flujo Inversión Bayesiana</w:t>
      </w:r>
      <w:r w:rsidR="00413EAA">
        <w:t>: Fuente Elaboración Propia</w:t>
      </w:r>
    </w:p>
    <w:p w14:paraId="42BADDF7" w14:textId="77777777" w:rsidR="00A938AB" w:rsidRDefault="00A938AB" w:rsidP="00A938AB">
      <w:pPr>
        <w:rPr>
          <w:lang w:val="es-AR"/>
        </w:rPr>
      </w:pPr>
    </w:p>
    <w:p w14:paraId="15E21A82" w14:textId="77777777" w:rsidR="00A938AB" w:rsidRDefault="00A938AB" w:rsidP="00A938AB">
      <w:pPr>
        <w:rPr>
          <w:lang w:val="es-AR"/>
        </w:rPr>
        <w:sectPr w:rsidR="00A938AB" w:rsidSect="003230C4">
          <w:type w:val="continuous"/>
          <w:pgSz w:w="11906" w:h="16838" w:code="9"/>
          <w:pgMar w:top="1134" w:right="1418" w:bottom="1418" w:left="1418" w:header="1064" w:footer="709" w:gutter="0"/>
          <w:cols w:space="335"/>
          <w:docGrid w:linePitch="360"/>
        </w:sectPr>
      </w:pPr>
    </w:p>
    <w:p w14:paraId="1E1FB589" w14:textId="77777777" w:rsidR="00A938AB" w:rsidRDefault="00A938AB" w:rsidP="00A938AB">
      <w:pPr>
        <w:rPr>
          <w:lang w:val="es-AR"/>
        </w:rPr>
      </w:pPr>
      <w:r w:rsidRPr="00500406">
        <w:rPr>
          <w:lang w:val="es-AR"/>
        </w:rPr>
        <w:lastRenderedPageBreak/>
        <w:t>Combinando las dos técnicas se pretende capturar el comportamiento global de</w:t>
      </w:r>
      <w:r>
        <w:rPr>
          <w:lang w:val="es-AR"/>
        </w:rPr>
        <w:t>l</w:t>
      </w:r>
      <w:r w:rsidRPr="00500406">
        <w:rPr>
          <w:lang w:val="es-AR"/>
        </w:rPr>
        <w:t xml:space="preserve"> modelo computacional con el conjunto de polinomios ortogonales en la tendencia de</w:t>
      </w:r>
      <w:r>
        <w:rPr>
          <w:lang w:val="es-AR"/>
        </w:rPr>
        <w:t xml:space="preserve"> </w:t>
      </w:r>
      <w:r w:rsidRPr="00500406">
        <w:rPr>
          <w:lang w:val="es-AR"/>
        </w:rPr>
        <w:t xml:space="preserve">un modelo universal de </w:t>
      </w:r>
      <w:proofErr w:type="spellStart"/>
      <w:r w:rsidRPr="00500406">
        <w:rPr>
          <w:lang w:val="es-AR"/>
        </w:rPr>
        <w:t>Kriging</w:t>
      </w:r>
      <w:proofErr w:type="spellEnd"/>
      <w:r w:rsidRPr="00500406">
        <w:rPr>
          <w:lang w:val="es-AR"/>
        </w:rPr>
        <w:t xml:space="preserve"> y la variabilidad local con el proceso gaussiano</w:t>
      </w:r>
      <w:r>
        <w:rPr>
          <w:lang w:val="es-AR"/>
        </w:rPr>
        <w:t xml:space="preserve"> </w:t>
      </w:r>
      <m:oMath>
        <m:d>
          <m:dPr>
            <m:ctrlPr>
              <w:rPr>
                <w:rFonts w:ascii="Cambria Math" w:hAnsi="Cambria Math"/>
                <w:i/>
                <w:lang w:val="es-AR"/>
              </w:rPr>
            </m:ctrlPr>
          </m:dPr>
          <m:e>
            <m:sSup>
              <m:sSupPr>
                <m:ctrlPr>
                  <w:rPr>
                    <w:rFonts w:ascii="Cambria Math" w:hAnsi="Cambria Math"/>
                    <w:i/>
                    <w:lang w:val="es-AR"/>
                  </w:rPr>
                </m:ctrlPr>
              </m:sSupPr>
              <m:e>
                <m:r>
                  <w:rPr>
                    <w:rFonts w:ascii="Cambria Math" w:hAnsi="Cambria Math"/>
                    <w:lang w:val="es-AR"/>
                  </w:rPr>
                  <m:t>σ</m:t>
                </m:r>
              </m:e>
              <m:sup>
                <m:r>
                  <w:rPr>
                    <w:rFonts w:ascii="Cambria Math" w:hAnsi="Cambria Math"/>
                    <w:lang w:val="es-AR"/>
                  </w:rPr>
                  <m:t>2</m:t>
                </m:r>
              </m:sup>
            </m:sSup>
          </m:e>
        </m:d>
      </m:oMath>
      <w:r w:rsidRPr="00500406">
        <w:rPr>
          <w:lang w:val="es-AR"/>
        </w:rPr>
        <w:t>.</w:t>
      </w:r>
      <w:r>
        <w:rPr>
          <w:lang w:val="es-AR"/>
        </w:rPr>
        <w:t xml:space="preserve"> </w:t>
      </w:r>
      <w:r w:rsidRPr="00500406">
        <w:rPr>
          <w:lang w:val="es-AR"/>
        </w:rPr>
        <w:t>E</w:t>
      </w:r>
      <w:r>
        <w:rPr>
          <w:lang w:val="es-AR"/>
        </w:rPr>
        <w:t xml:space="preserve">ste </w:t>
      </w:r>
      <w:r w:rsidRPr="00500406">
        <w:rPr>
          <w:lang w:val="es-AR"/>
        </w:rPr>
        <w:t xml:space="preserve">enfoque denominado </w:t>
      </w:r>
      <w:proofErr w:type="spellStart"/>
      <w:r w:rsidRPr="00500406">
        <w:rPr>
          <w:lang w:val="es-AR"/>
        </w:rPr>
        <w:t>Polynomial</w:t>
      </w:r>
      <w:proofErr w:type="spellEnd"/>
      <w:r w:rsidRPr="00500406">
        <w:rPr>
          <w:lang w:val="es-AR"/>
        </w:rPr>
        <w:t>-Chaos-</w:t>
      </w:r>
      <w:proofErr w:type="spellStart"/>
      <w:r w:rsidRPr="00500406">
        <w:rPr>
          <w:lang w:val="es-AR"/>
        </w:rPr>
        <w:t>Kriging</w:t>
      </w:r>
      <w:proofErr w:type="spellEnd"/>
      <w:r w:rsidRPr="00500406">
        <w:rPr>
          <w:lang w:val="es-AR"/>
        </w:rPr>
        <w:t xml:space="preserve"> (PCK)</w:t>
      </w:r>
      <w:r>
        <w:rPr>
          <w:lang w:val="es-AR"/>
        </w:rPr>
        <w:t xml:space="preserve"> </w:t>
      </w:r>
      <w:r w:rsidRPr="00500406">
        <w:rPr>
          <w:lang w:val="es-AR"/>
        </w:rPr>
        <w:t>combina</w:t>
      </w:r>
      <w:r>
        <w:rPr>
          <w:lang w:val="es-AR"/>
        </w:rPr>
        <w:t xml:space="preserve"> </w:t>
      </w:r>
      <w:r w:rsidRPr="00500406">
        <w:rPr>
          <w:lang w:val="es-AR"/>
        </w:rPr>
        <w:t xml:space="preserve">estas dos técnicas distintas de </w:t>
      </w:r>
      <w:proofErr w:type="spellStart"/>
      <w:r w:rsidRPr="00500406">
        <w:rPr>
          <w:lang w:val="es-AR"/>
        </w:rPr>
        <w:t>metamodelación</w:t>
      </w:r>
      <w:proofErr w:type="spellEnd"/>
      <w:r w:rsidRPr="00500406">
        <w:rPr>
          <w:lang w:val="es-AR"/>
        </w:rPr>
        <w:t xml:space="preserve"> y sus características</w:t>
      </w:r>
      <w:r>
        <w:rPr>
          <w:lang w:val="es-AR"/>
        </w:rPr>
        <w:t xml:space="preserve">, y puede ser expresado en notación </w:t>
      </w:r>
      <w:proofErr w:type="spellStart"/>
      <w:r>
        <w:rPr>
          <w:lang w:val="es-AR"/>
        </w:rPr>
        <w:t>polinomial</w:t>
      </w:r>
      <w:proofErr w:type="spellEnd"/>
      <w:r>
        <w:rPr>
          <w:lang w:val="es-AR"/>
        </w:rPr>
        <w:t xml:space="preserve"> de la siguiente forma: </w:t>
      </w:r>
    </w:p>
    <w:p w14:paraId="4184071C" w14:textId="77777777" w:rsidR="00A938AB" w:rsidRDefault="00A938AB" w:rsidP="00A938AB">
      <w:pPr>
        <w:rPr>
          <w:lang w:val="es-A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tblGrid>
      <w:tr w:rsidR="00A938AB" w14:paraId="74F8CE3B" w14:textId="77777777" w:rsidTr="00A938AB">
        <w:trPr>
          <w:trHeight w:val="581"/>
        </w:trPr>
        <w:tc>
          <w:tcPr>
            <w:tcW w:w="3828" w:type="dxa"/>
          </w:tcPr>
          <w:p w14:paraId="01119BCF" w14:textId="77777777" w:rsidR="00A938AB" w:rsidRPr="002815C6" w:rsidRDefault="00A938AB" w:rsidP="00673113">
            <w:pPr>
              <w:jc w:val="center"/>
              <w:rPr>
                <w:rFonts w:ascii="Cambria Math" w:hAnsi="Cambria Math"/>
                <w:i/>
              </w:rPr>
            </w:pPr>
            <m:oMathPara>
              <m:oMath>
                <m:r>
                  <w:rPr>
                    <w:rFonts w:ascii="Cambria Math" w:hAnsi="Cambria Math"/>
                  </w:rPr>
                  <m:t>M≈</m:t>
                </m:r>
                <m:sSup>
                  <m:sSupPr>
                    <m:ctrlPr>
                      <w:rPr>
                        <w:rFonts w:ascii="Cambria Math" w:hAnsi="Cambria Math"/>
                        <w:i/>
                      </w:rPr>
                    </m:ctrlPr>
                  </m:sSupPr>
                  <m:e>
                    <m:r>
                      <w:rPr>
                        <w:rFonts w:ascii="Cambria Math" w:hAnsi="Cambria Math"/>
                      </w:rPr>
                      <m:t>M</m:t>
                    </m:r>
                  </m:e>
                  <m:sup>
                    <m:d>
                      <m:dPr>
                        <m:ctrlPr>
                          <w:rPr>
                            <w:rFonts w:ascii="Cambria Math" w:hAnsi="Cambria Math"/>
                            <w:i/>
                          </w:rPr>
                        </m:ctrlPr>
                      </m:dPr>
                      <m:e>
                        <m:r>
                          <w:rPr>
                            <w:rFonts w:ascii="Cambria Math" w:hAnsi="Cambria Math"/>
                          </w:rPr>
                          <m:t>PCK</m:t>
                        </m:r>
                      </m:e>
                    </m:d>
                  </m:sup>
                </m:sSup>
                <m:d>
                  <m:dPr>
                    <m:ctrlPr>
                      <w:rPr>
                        <w:rFonts w:ascii="Cambria Math" w:hAnsi="Cambria Math"/>
                        <w:i/>
                      </w:rPr>
                    </m:ctrlPr>
                  </m:dPr>
                  <m:e>
                    <m:r>
                      <w:rPr>
                        <w:rFonts w:ascii="Cambria Math" w:hAnsi="Cambria Math"/>
                      </w:rPr>
                      <m:t>x</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α∈A</m:t>
                    </m:r>
                  </m:sub>
                  <m:sup/>
                  <m:e>
                    <m:sSub>
                      <m:sSubPr>
                        <m:ctrlPr>
                          <w:rPr>
                            <w:rFonts w:ascii="Cambria Math" w:hAnsi="Cambria Math"/>
                            <w:i/>
                          </w:rPr>
                        </m:ctrlPr>
                      </m:sSubPr>
                      <m:e>
                        <m:r>
                          <w:rPr>
                            <w:rFonts w:ascii="Cambria Math" w:hAnsi="Cambria Math"/>
                          </w:rPr>
                          <m:t>a</m:t>
                        </m:r>
                      </m:e>
                      <m:sub>
                        <m:r>
                          <w:rPr>
                            <w:rFonts w:ascii="Cambria Math" w:hAnsi="Cambria Math"/>
                          </w:rPr>
                          <m:t>α</m:t>
                        </m:r>
                      </m:sub>
                    </m:sSub>
                    <m:sSub>
                      <m:sSubPr>
                        <m:ctrlPr>
                          <w:rPr>
                            <w:rFonts w:ascii="Cambria Math" w:hAnsi="Cambria Math"/>
                            <w:i/>
                          </w:rPr>
                        </m:ctrlPr>
                      </m:sSubPr>
                      <m:e>
                        <m:r>
                          <w:rPr>
                            <w:rFonts w:ascii="Cambria Math" w:hAnsi="Cambria Math"/>
                          </w:rPr>
                          <m:t>ψ</m:t>
                        </m:r>
                      </m:e>
                      <m:sub>
                        <m:r>
                          <w:rPr>
                            <w:rFonts w:ascii="Cambria Math" w:hAnsi="Cambria Math"/>
                          </w:rPr>
                          <m:t>α</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Ζ(x)</m:t>
                    </m:r>
                  </m:e>
                </m:nary>
              </m:oMath>
            </m:oMathPara>
          </w:p>
        </w:tc>
        <w:tc>
          <w:tcPr>
            <w:tcW w:w="567" w:type="dxa"/>
          </w:tcPr>
          <w:p w14:paraId="1B93177D" w14:textId="77777777" w:rsidR="00A938AB" w:rsidRPr="00AE668F" w:rsidRDefault="00A938AB" w:rsidP="00413EAA">
            <w:pPr>
              <w:spacing w:before="80"/>
              <w:jc w:val="right"/>
              <w:rPr>
                <w:rFonts w:ascii="Cambria Math" w:hAnsi="Cambria Math"/>
                <w:iCs/>
              </w:rPr>
            </w:pPr>
            <w:r w:rsidRPr="00AE668F">
              <w:rPr>
                <w:rFonts w:ascii="Cambria Math" w:hAnsi="Cambria Math"/>
                <w:iCs/>
              </w:rPr>
              <w:t>(7)</w:t>
            </w:r>
          </w:p>
        </w:tc>
      </w:tr>
    </w:tbl>
    <w:p w14:paraId="080C9F24" w14:textId="77777777" w:rsidR="00A938AB" w:rsidRDefault="00A938AB" w:rsidP="00A938AB">
      <w:pPr>
        <w:rPr>
          <w:lang w:val="es-AR"/>
        </w:rPr>
      </w:pPr>
    </w:p>
    <w:p w14:paraId="6741E0F2" w14:textId="77777777" w:rsidR="00A938AB" w:rsidRDefault="00A938AB" w:rsidP="00A938AB">
      <w:pPr>
        <w:rPr>
          <w:lang w:val="es-AR"/>
        </w:rPr>
      </w:pPr>
      <w:r>
        <w:rPr>
          <w:lang w:val="es-AR"/>
        </w:rPr>
        <w:t>D</w:t>
      </w:r>
      <w:r w:rsidRPr="00B466CD">
        <w:rPr>
          <w:lang w:val="es-AR"/>
        </w:rPr>
        <w:t>onde</w:t>
      </w:r>
      <w:r>
        <w:rPr>
          <w:lang w:val="es-AR"/>
        </w:rPr>
        <w:t xml:space="preserve"> </w:t>
      </w:r>
      <m:oMath>
        <m:nary>
          <m:naryPr>
            <m:chr m:val="∑"/>
            <m:limLoc m:val="undOvr"/>
            <m:supHide m:val="1"/>
            <m:ctrlPr>
              <w:rPr>
                <w:rFonts w:ascii="Cambria Math" w:hAnsi="Cambria Math"/>
                <w:i/>
              </w:rPr>
            </m:ctrlPr>
          </m:naryPr>
          <m:sub>
            <m:r>
              <w:rPr>
                <w:rFonts w:ascii="Cambria Math" w:hAnsi="Cambria Math"/>
              </w:rPr>
              <m:t>α∈A</m:t>
            </m:r>
          </m:sub>
          <m:sup/>
          <m:e>
            <m:sSub>
              <m:sSubPr>
                <m:ctrlPr>
                  <w:rPr>
                    <w:rFonts w:ascii="Cambria Math" w:hAnsi="Cambria Math"/>
                    <w:i/>
                  </w:rPr>
                </m:ctrlPr>
              </m:sSubPr>
              <m:e>
                <m:r>
                  <w:rPr>
                    <w:rFonts w:ascii="Cambria Math" w:hAnsi="Cambria Math"/>
                  </w:rPr>
                  <m:t>a</m:t>
                </m:r>
              </m:e>
              <m:sub>
                <m:r>
                  <w:rPr>
                    <w:rFonts w:ascii="Cambria Math" w:hAnsi="Cambria Math"/>
                  </w:rPr>
                  <m:t>α</m:t>
                </m:r>
              </m:sub>
            </m:sSub>
            <m:sSub>
              <m:sSubPr>
                <m:ctrlPr>
                  <w:rPr>
                    <w:rFonts w:ascii="Cambria Math" w:hAnsi="Cambria Math"/>
                    <w:i/>
                  </w:rPr>
                </m:ctrlPr>
              </m:sSubPr>
              <m:e>
                <m:r>
                  <w:rPr>
                    <w:rFonts w:ascii="Cambria Math" w:hAnsi="Cambria Math"/>
                  </w:rPr>
                  <m:t>ψ</m:t>
                </m:r>
              </m:e>
              <m:sub>
                <m:r>
                  <w:rPr>
                    <w:rFonts w:ascii="Cambria Math" w:hAnsi="Cambria Math"/>
                  </w:rPr>
                  <m:t>α</m:t>
                </m:r>
              </m:sub>
            </m:sSub>
            <m:d>
              <m:dPr>
                <m:ctrlPr>
                  <w:rPr>
                    <w:rFonts w:ascii="Cambria Math" w:hAnsi="Cambria Math"/>
                    <w:i/>
                  </w:rPr>
                </m:ctrlPr>
              </m:dPr>
              <m:e>
                <m:r>
                  <w:rPr>
                    <w:rFonts w:ascii="Cambria Math" w:hAnsi="Cambria Math"/>
                  </w:rPr>
                  <m:t>x</m:t>
                </m:r>
              </m:e>
            </m:d>
          </m:e>
        </m:nary>
      </m:oMath>
      <w:r w:rsidRPr="00B466CD">
        <w:rPr>
          <w:lang w:val="es-AR"/>
        </w:rPr>
        <w:t xml:space="preserve"> es una suma ponderada de polinomios ortonormales que describen</w:t>
      </w:r>
      <w:r>
        <w:rPr>
          <w:lang w:val="es-AR"/>
        </w:rPr>
        <w:t xml:space="preserve"> </w:t>
      </w:r>
      <w:r w:rsidRPr="00B466CD">
        <w:rPr>
          <w:lang w:val="es-AR"/>
        </w:rPr>
        <w:t xml:space="preserve">el valor medio del proceso gaussiano y </w:t>
      </w:r>
      <m:oMath>
        <m:r>
          <m:rPr>
            <m:sty m:val="p"/>
          </m:rPr>
          <w:rPr>
            <w:rFonts w:ascii="Cambria Math" w:hAnsi="Cambria Math"/>
            <w:lang w:val="es-AR"/>
          </w:rPr>
          <m:t>Α</m:t>
        </m:r>
      </m:oMath>
      <w:r>
        <w:rPr>
          <w:lang w:val="es-AR"/>
        </w:rPr>
        <w:t xml:space="preserve"> </w:t>
      </w:r>
      <w:r w:rsidRPr="00B466CD">
        <w:rPr>
          <w:lang w:val="es-AR"/>
        </w:rPr>
        <w:t>es el con</w:t>
      </w:r>
      <w:r>
        <w:rPr>
          <w:lang w:val="es-AR"/>
        </w:rPr>
        <w:t>j</w:t>
      </w:r>
      <w:r w:rsidRPr="00B466CD">
        <w:rPr>
          <w:lang w:val="es-AR"/>
        </w:rPr>
        <w:t>unto de índices de los</w:t>
      </w:r>
      <w:r>
        <w:rPr>
          <w:lang w:val="es-AR"/>
        </w:rPr>
        <w:t xml:space="preserve"> </w:t>
      </w:r>
      <w:r w:rsidRPr="00B466CD">
        <w:rPr>
          <w:lang w:val="es-AR"/>
        </w:rPr>
        <w:t>polinomios</w:t>
      </w:r>
      <w:r>
        <w:rPr>
          <w:lang w:val="es-AR"/>
        </w:rPr>
        <w:t xml:space="preserve">. Siendo </w:t>
      </w:r>
      <m:oMath>
        <m:r>
          <m:rPr>
            <m:sty m:val="p"/>
          </m:rPr>
          <w:rPr>
            <w:rFonts w:ascii="Cambria Math" w:hAnsi="Cambria Math"/>
            <w:lang w:val="es-AR"/>
          </w:rPr>
          <m:t>Ζ</m:t>
        </m:r>
        <m:r>
          <w:rPr>
            <w:rFonts w:ascii="Cambria Math" w:hAnsi="Cambria Math"/>
            <w:lang w:val="es-AR"/>
          </w:rPr>
          <m:t>(x)</m:t>
        </m:r>
      </m:oMath>
      <w:r>
        <w:rPr>
          <w:lang w:val="es-AR"/>
        </w:rPr>
        <w:t xml:space="preserve"> </w:t>
      </w:r>
      <w:r w:rsidRPr="00B466CD">
        <w:rPr>
          <w:lang w:val="es-AR"/>
        </w:rPr>
        <w:t>un proceso gaussiano estacionario de media cero y varianza unitaria</w:t>
      </w:r>
      <w:r>
        <w:rPr>
          <w:lang w:val="es-AR"/>
        </w:rPr>
        <w:t>, definido</w:t>
      </w:r>
      <w:r w:rsidRPr="00B466CD">
        <w:rPr>
          <w:lang w:val="es-AR"/>
        </w:rPr>
        <w:t xml:space="preserve"> por una función de </w:t>
      </w:r>
      <w:proofErr w:type="spellStart"/>
      <w:r w:rsidRPr="00B466CD">
        <w:rPr>
          <w:lang w:val="es-AR"/>
        </w:rPr>
        <w:t>autocorrelación</w:t>
      </w:r>
      <w:proofErr w:type="spellEnd"/>
      <w:r>
        <w:rPr>
          <w:lang w:val="es-AR"/>
        </w:rPr>
        <w:t xml:space="preserve"> </w:t>
      </w:r>
      <m:oMath>
        <m:r>
          <w:rPr>
            <w:rFonts w:ascii="Cambria Math" w:hAnsi="Cambria Math"/>
            <w:lang w:val="es-AR"/>
          </w:rPr>
          <m:t>R(</m:t>
        </m:r>
        <m:d>
          <m:dPr>
            <m:begChr m:val="|"/>
            <m:endChr m:val="|"/>
            <m:ctrlPr>
              <w:rPr>
                <w:rFonts w:ascii="Cambria Math" w:hAnsi="Cambria Math"/>
                <w:i/>
                <w:lang w:val="es-AR"/>
              </w:rPr>
            </m:ctrlPr>
          </m:dPr>
          <m:e>
            <m:r>
              <w:rPr>
                <w:rFonts w:ascii="Cambria Math" w:hAnsi="Cambria Math"/>
                <w:lang w:val="es-AR"/>
              </w:rPr>
              <m:t>x-</m:t>
            </m:r>
            <m:sSup>
              <m:sSupPr>
                <m:ctrlPr>
                  <w:rPr>
                    <w:rFonts w:ascii="Cambria Math" w:hAnsi="Cambria Math"/>
                    <w:i/>
                    <w:lang w:val="es-AR"/>
                  </w:rPr>
                </m:ctrlPr>
              </m:sSupPr>
              <m:e>
                <m:r>
                  <w:rPr>
                    <w:rFonts w:ascii="Cambria Math" w:hAnsi="Cambria Math"/>
                    <w:lang w:val="es-AR"/>
                  </w:rPr>
                  <m:t>x</m:t>
                </m:r>
              </m:e>
              <m:sup>
                <m:r>
                  <w:rPr>
                    <w:rFonts w:ascii="Cambria Math" w:hAnsi="Cambria Math"/>
                    <w:lang w:val="es-AR"/>
                  </w:rPr>
                  <m:t>'</m:t>
                </m:r>
              </m:sup>
            </m:sSup>
          </m:e>
        </m:d>
        <m:r>
          <w:rPr>
            <w:rFonts w:ascii="Cambria Math" w:hAnsi="Cambria Math"/>
            <w:lang w:val="es-AR"/>
          </w:rPr>
          <m:t>;ϕ)</m:t>
        </m:r>
      </m:oMath>
      <w:r w:rsidRPr="00B466CD">
        <w:rPr>
          <w:lang w:val="es-AR"/>
        </w:rPr>
        <w:t xml:space="preserve"> y</w:t>
      </w:r>
      <w:r>
        <w:rPr>
          <w:lang w:val="es-AR"/>
        </w:rPr>
        <w:t xml:space="preserve"> </w:t>
      </w:r>
      <w:r w:rsidRPr="00B466CD">
        <w:rPr>
          <w:lang w:val="es-AR"/>
        </w:rPr>
        <w:t>parametrizado por</w:t>
      </w:r>
      <w:r>
        <w:rPr>
          <w:lang w:val="es-AR"/>
        </w:rPr>
        <w:t xml:space="preserve"> </w:t>
      </w:r>
      <w:r w:rsidRPr="00B466CD">
        <w:rPr>
          <w:lang w:val="es-AR"/>
        </w:rPr>
        <w:t xml:space="preserve">un conjunto de </w:t>
      </w:r>
      <w:proofErr w:type="spellStart"/>
      <w:r w:rsidRPr="00B466CD">
        <w:rPr>
          <w:lang w:val="es-AR"/>
        </w:rPr>
        <w:t>hiperparámetros</w:t>
      </w:r>
      <w:proofErr w:type="spellEnd"/>
      <w:r w:rsidRPr="00B466CD">
        <w:rPr>
          <w:lang w:val="es-AR"/>
        </w:rPr>
        <w:t xml:space="preserve"> </w:t>
      </w:r>
      <m:oMath>
        <m:r>
          <w:rPr>
            <w:rFonts w:ascii="Cambria Math" w:hAnsi="Cambria Math"/>
            <w:lang w:val="es-AR"/>
          </w:rPr>
          <m:t>ϕ</m:t>
        </m:r>
      </m:oMath>
      <w:r w:rsidRPr="00B466CD">
        <w:rPr>
          <w:lang w:val="es-AR"/>
        </w:rPr>
        <w:t>.</w:t>
      </w:r>
    </w:p>
    <w:p w14:paraId="655F9EF2" w14:textId="77777777" w:rsidR="00A938AB" w:rsidRDefault="00A938AB" w:rsidP="00A938AB">
      <w:pPr>
        <w:rPr>
          <w:lang w:val="es-AR"/>
        </w:rPr>
      </w:pPr>
      <w:r>
        <w:rPr>
          <w:lang w:val="es-AR"/>
        </w:rPr>
        <w:t>En definitiva, l</w:t>
      </w:r>
      <w:r w:rsidRPr="00D95805">
        <w:rPr>
          <w:lang w:val="es-AR"/>
        </w:rPr>
        <w:t xml:space="preserve">a construcción de un </w:t>
      </w:r>
      <w:proofErr w:type="spellStart"/>
      <w:r w:rsidRPr="00D95805">
        <w:rPr>
          <w:lang w:val="es-AR"/>
        </w:rPr>
        <w:t>metamodelo</w:t>
      </w:r>
      <w:proofErr w:type="spellEnd"/>
      <w:r w:rsidRPr="00D95805">
        <w:rPr>
          <w:lang w:val="es-AR"/>
        </w:rPr>
        <w:t xml:space="preserve"> PC</w:t>
      </w:r>
      <w:r>
        <w:rPr>
          <w:lang w:val="es-AR"/>
        </w:rPr>
        <w:t>K</w:t>
      </w:r>
      <w:r w:rsidRPr="00D95805">
        <w:rPr>
          <w:lang w:val="es-AR"/>
        </w:rPr>
        <w:t xml:space="preserve"> consta de dos partes: la determinación</w:t>
      </w:r>
      <w:r>
        <w:rPr>
          <w:lang w:val="es-AR"/>
        </w:rPr>
        <w:t xml:space="preserve"> </w:t>
      </w:r>
      <w:r w:rsidRPr="00D95805">
        <w:rPr>
          <w:lang w:val="es-AR"/>
        </w:rPr>
        <w:t>del conjunto óptimo de polinomios contenidos en la parte de regresión (es decir, el</w:t>
      </w:r>
      <w:r>
        <w:rPr>
          <w:lang w:val="es-AR"/>
        </w:rPr>
        <w:t xml:space="preserve"> </w:t>
      </w:r>
      <w:proofErr w:type="gramStart"/>
      <w:r w:rsidRPr="00D95805">
        <w:rPr>
          <w:lang w:val="es-AR"/>
        </w:rPr>
        <w:t>truncamiento</w:t>
      </w:r>
      <w:r>
        <w:rPr>
          <w:lang w:val="es-AR"/>
        </w:rPr>
        <w:t xml:space="preserve"> </w:t>
      </w:r>
      <w:proofErr w:type="gramEnd"/>
      <m:oMath>
        <m:r>
          <m:rPr>
            <m:sty m:val="p"/>
          </m:rPr>
          <w:rPr>
            <w:rFonts w:ascii="Cambria Math" w:hAnsi="Cambria Math"/>
            <w:lang w:val="es-AR"/>
          </w:rPr>
          <m:t>Α</m:t>
        </m:r>
      </m:oMath>
      <w:r w:rsidRPr="00D95805">
        <w:rPr>
          <w:lang w:val="es-AR"/>
        </w:rPr>
        <w:t>) y la calibración de los hiperparámetros de correlación</w:t>
      </w:r>
      <w:r>
        <w:rPr>
          <w:lang w:val="es-AR"/>
        </w:rPr>
        <w:t xml:space="preserve"> </w:t>
      </w:r>
      <m:oMath>
        <m:r>
          <w:rPr>
            <w:rFonts w:ascii="Cambria Math" w:hAnsi="Cambria Math"/>
            <w:lang w:val="es-AR"/>
          </w:rPr>
          <m:t>ϕ</m:t>
        </m:r>
      </m:oMath>
      <w:r w:rsidRPr="00D95805">
        <w:rPr>
          <w:lang w:val="es-AR"/>
        </w:rPr>
        <w:t xml:space="preserve">, así como de los parámetros de Kriging </w:t>
      </w:r>
      <m:oMath>
        <m:d>
          <m:dPr>
            <m:begChr m:val="{"/>
            <m:endChr m:val="}"/>
            <m:ctrlPr>
              <w:rPr>
                <w:rFonts w:ascii="Cambria Math" w:hAnsi="Cambria Math"/>
                <w:i/>
                <w:lang w:val="es-AR"/>
              </w:rPr>
            </m:ctrlPr>
          </m:dPr>
          <m:e>
            <m:sSup>
              <m:sSupPr>
                <m:ctrlPr>
                  <w:rPr>
                    <w:rFonts w:ascii="Cambria Math" w:hAnsi="Cambria Math"/>
                    <w:i/>
                    <w:lang w:val="es-AR"/>
                  </w:rPr>
                </m:ctrlPr>
              </m:sSupPr>
              <m:e>
                <m:r>
                  <w:rPr>
                    <w:rFonts w:ascii="Cambria Math" w:hAnsi="Cambria Math"/>
                    <w:lang w:val="es-AR"/>
                  </w:rPr>
                  <m:t>σ</m:t>
                </m:r>
              </m:e>
              <m:sup>
                <m:r>
                  <w:rPr>
                    <w:rFonts w:ascii="Cambria Math" w:hAnsi="Cambria Math"/>
                    <w:lang w:val="es-AR"/>
                  </w:rPr>
                  <m:t>2</m:t>
                </m:r>
              </m:sup>
            </m:sSup>
            <m:r>
              <w:rPr>
                <w:rFonts w:ascii="Cambria Math" w:hAnsi="Cambria Math"/>
                <w:lang w:val="es-AR"/>
              </w:rPr>
              <m:t>,</m:t>
            </m:r>
            <m:sSub>
              <m:sSubPr>
                <m:ctrlPr>
                  <w:rPr>
                    <w:rFonts w:ascii="Cambria Math" w:hAnsi="Cambria Math"/>
                    <w:i/>
                    <w:lang w:val="es-AR"/>
                  </w:rPr>
                </m:ctrlPr>
              </m:sSubPr>
              <m:e>
                <m:r>
                  <w:rPr>
                    <w:rFonts w:ascii="Cambria Math" w:hAnsi="Cambria Math"/>
                    <w:lang w:val="es-AR"/>
                  </w:rPr>
                  <m:t>a</m:t>
                </m:r>
              </m:e>
              <m:sub>
                <m:r>
                  <w:rPr>
                    <w:rFonts w:ascii="Cambria Math" w:hAnsi="Cambria Math"/>
                    <w:lang w:val="es-AR"/>
                  </w:rPr>
                  <m:t>α</m:t>
                </m:r>
              </m:sub>
            </m:sSub>
          </m:e>
        </m:d>
      </m:oMath>
      <w:r w:rsidRPr="00D95805">
        <w:rPr>
          <w:lang w:val="es-AR"/>
        </w:rPr>
        <w:t>.</w:t>
      </w:r>
    </w:p>
    <w:p w14:paraId="20618D7F" w14:textId="77777777" w:rsidR="00A938AB" w:rsidRDefault="00A938AB" w:rsidP="00A938AB">
      <w:pPr>
        <w:rPr>
          <w:lang w:val="es-AR"/>
        </w:rPr>
      </w:pPr>
      <w:r w:rsidRPr="00A33950">
        <w:rPr>
          <w:lang w:val="es-AR"/>
        </w:rPr>
        <w:t>Finalmente,</w:t>
      </w:r>
      <w:r>
        <w:rPr>
          <w:lang w:val="es-AR"/>
        </w:rPr>
        <w:t xml:space="preserve"> en</w:t>
      </w:r>
      <w:r w:rsidRPr="00A33950">
        <w:rPr>
          <w:lang w:val="es-AR"/>
        </w:rPr>
        <w:t xml:space="preserve"> </w:t>
      </w:r>
      <w:r>
        <w:rPr>
          <w:lang w:val="es-AR"/>
        </w:rPr>
        <w:t>la metodología adoptada, se contempla</w:t>
      </w:r>
      <w:r w:rsidRPr="00A33950">
        <w:rPr>
          <w:lang w:val="es-AR"/>
        </w:rPr>
        <w:t xml:space="preserve"> la aplicación del método estadístico de </w:t>
      </w:r>
      <w:proofErr w:type="spellStart"/>
      <w:r w:rsidRPr="00A33950">
        <w:rPr>
          <w:lang w:val="es-AR"/>
        </w:rPr>
        <w:t>Latin</w:t>
      </w:r>
      <w:proofErr w:type="spellEnd"/>
      <w:r w:rsidRPr="00A33950">
        <w:rPr>
          <w:lang w:val="es-AR"/>
        </w:rPr>
        <w:t xml:space="preserve"> </w:t>
      </w:r>
      <w:proofErr w:type="spellStart"/>
      <w:r w:rsidRPr="00A33950">
        <w:rPr>
          <w:lang w:val="es-AR"/>
        </w:rPr>
        <w:t>Hypercube</w:t>
      </w:r>
      <w:proofErr w:type="spellEnd"/>
      <w:r w:rsidRPr="00A33950">
        <w:rPr>
          <w:lang w:val="es-AR"/>
        </w:rPr>
        <w:t xml:space="preserve"> </w:t>
      </w:r>
      <w:proofErr w:type="spellStart"/>
      <w:r w:rsidRPr="00A33950">
        <w:rPr>
          <w:lang w:val="es-AR"/>
        </w:rPr>
        <w:t>Sampling</w:t>
      </w:r>
      <w:proofErr w:type="spellEnd"/>
      <w:r w:rsidRPr="00A33950">
        <w:rPr>
          <w:lang w:val="es-AR"/>
        </w:rPr>
        <w:t xml:space="preserve"> (LHS)</w:t>
      </w:r>
      <w:r>
        <w:rPr>
          <w:lang w:val="es-AR"/>
        </w:rPr>
        <w:t xml:space="preserve"> para </w:t>
      </w:r>
      <w:r w:rsidRPr="00A33950">
        <w:rPr>
          <w:lang w:val="es-AR"/>
        </w:rPr>
        <w:t>realiz</w:t>
      </w:r>
      <w:r>
        <w:rPr>
          <w:lang w:val="es-AR"/>
        </w:rPr>
        <w:t>ar</w:t>
      </w:r>
      <w:r w:rsidRPr="00A33950">
        <w:rPr>
          <w:lang w:val="es-AR"/>
        </w:rPr>
        <w:t xml:space="preserve"> un </w:t>
      </w:r>
      <w:proofErr w:type="spellStart"/>
      <w:r w:rsidRPr="00A33950">
        <w:rPr>
          <w:lang w:val="es-AR"/>
        </w:rPr>
        <w:t>sampleo</w:t>
      </w:r>
      <w:proofErr w:type="spellEnd"/>
      <w:r w:rsidRPr="00A33950">
        <w:rPr>
          <w:lang w:val="es-AR"/>
        </w:rPr>
        <w:t xml:space="preserve"> de las distribuciones posteriores calibradas del modelo</w:t>
      </w:r>
      <w:r>
        <w:rPr>
          <w:lang w:val="es-AR"/>
        </w:rPr>
        <w:t xml:space="preserve"> con el objetivo de evaluar la propagación de incertidumbre.</w:t>
      </w:r>
    </w:p>
    <w:p w14:paraId="5CEC20A8" w14:textId="133FEF17" w:rsidR="00C078CF" w:rsidRDefault="009B4D5F" w:rsidP="002E2C39">
      <w:pPr>
        <w:rPr>
          <w:noProof/>
        </w:rPr>
      </w:pPr>
      <w:r w:rsidRPr="001753C9">
        <w:rPr>
          <w:noProof/>
        </w:rPr>
        <w:t xml:space="preserve"> </w:t>
      </w:r>
    </w:p>
    <w:p w14:paraId="3B66D694" w14:textId="2ECAD25B" w:rsidR="00A938AB" w:rsidRPr="00E34FCE" w:rsidRDefault="00A938AB" w:rsidP="00A938AB">
      <w:pPr>
        <w:pStyle w:val="Ttulo1"/>
      </w:pPr>
      <w:r>
        <w:t>Caso de estudio</w:t>
      </w:r>
    </w:p>
    <w:p w14:paraId="34341002" w14:textId="77777777" w:rsidR="00A938AB" w:rsidRDefault="00A938AB" w:rsidP="002E2C39">
      <w:pPr>
        <w:rPr>
          <w:noProof/>
        </w:rPr>
      </w:pPr>
    </w:p>
    <w:p w14:paraId="46CC7CC7" w14:textId="77777777" w:rsidR="00413EAA" w:rsidRDefault="00413EAA" w:rsidP="00413EAA">
      <w:pPr>
        <w:suppressAutoHyphens/>
        <w:rPr>
          <w:rFonts w:eastAsia="Times New Roman" w:cs="Times New Roman"/>
          <w:color w:val="00000A"/>
          <w:lang w:val="es-AR" w:eastAsia="pl-PL"/>
        </w:rPr>
      </w:pPr>
      <w:r w:rsidRPr="003230C4">
        <w:rPr>
          <w:rFonts w:eastAsia="Times New Roman" w:cs="Times New Roman"/>
          <w:color w:val="00000A"/>
          <w:lang w:val="es-AR" w:eastAsia="pl-PL"/>
        </w:rPr>
        <w:t xml:space="preserve">En la Figura </w:t>
      </w:r>
      <w:r>
        <w:rPr>
          <w:rFonts w:eastAsia="Times New Roman" w:cs="Times New Roman"/>
          <w:color w:val="00000A"/>
          <w:lang w:val="es-AR" w:eastAsia="pl-PL"/>
        </w:rPr>
        <w:t>4</w:t>
      </w:r>
      <w:r w:rsidRPr="003230C4">
        <w:rPr>
          <w:rFonts w:eastAsia="Times New Roman" w:cs="Times New Roman"/>
          <w:color w:val="00000A"/>
          <w:lang w:val="es-AR" w:eastAsia="pl-PL"/>
        </w:rPr>
        <w:t>, en correspondencia con los datos indicados en la Tabla 1, se presenta un esquema con las</w:t>
      </w:r>
      <w:r w:rsidRPr="00220524">
        <w:rPr>
          <w:lang w:val="es-AR"/>
        </w:rPr>
        <w:t xml:space="preserve"> características principales del amortiguador </w:t>
      </w:r>
      <w:r>
        <w:rPr>
          <w:lang w:val="es-AR"/>
        </w:rPr>
        <w:t xml:space="preserve">simétrico </w:t>
      </w:r>
      <w:r w:rsidRPr="00220524">
        <w:rPr>
          <w:lang w:val="es-AR"/>
        </w:rPr>
        <w:t>analizado en este trabajo.</w:t>
      </w:r>
      <w:r w:rsidRPr="00591CCB">
        <w:rPr>
          <w:rFonts w:eastAsia="Times New Roman" w:cs="Times New Roman"/>
          <w:color w:val="00000A"/>
          <w:lang w:val="es-AR" w:eastAsia="pl-PL"/>
        </w:rPr>
        <w:t xml:space="preserve"> </w:t>
      </w:r>
    </w:p>
    <w:p w14:paraId="2DDBCB3D" w14:textId="77777777" w:rsidR="00413EAA" w:rsidRDefault="00413EAA" w:rsidP="00413EAA">
      <w:pPr>
        <w:suppressAutoHyphens/>
        <w:rPr>
          <w:lang w:val="es-AR"/>
        </w:rPr>
      </w:pPr>
      <w:r w:rsidRPr="00591CCB">
        <w:rPr>
          <w:lang w:val="es-AR"/>
        </w:rPr>
        <w:t xml:space="preserve">Para realizar el cálculo de los momentos de inercia y de la excentricidad de las masas del amortiguador, se utilizó las herramientas disponibles en el software </w:t>
      </w:r>
      <w:proofErr w:type="spellStart"/>
      <w:r w:rsidRPr="00591CCB">
        <w:rPr>
          <w:lang w:val="es-AR"/>
        </w:rPr>
        <w:t>SolidWorks</w:t>
      </w:r>
      <w:proofErr w:type="spellEnd"/>
      <w:r w:rsidRPr="00591CCB">
        <w:rPr>
          <w:lang w:val="es-AR"/>
        </w:rPr>
        <w:t xml:space="preserve"> para analizar un modelo CAD tridimensional del amortiguador.</w:t>
      </w:r>
    </w:p>
    <w:p w14:paraId="414E94E9" w14:textId="77777777" w:rsidR="00413EAA" w:rsidRPr="00591CCB" w:rsidRDefault="00413EAA" w:rsidP="00413EAA">
      <w:pPr>
        <w:suppressAutoHyphens/>
        <w:rPr>
          <w:lang w:val="es-AR"/>
        </w:rPr>
      </w:pPr>
    </w:p>
    <w:p w14:paraId="6410C10B" w14:textId="77777777" w:rsidR="00413EAA" w:rsidRDefault="00413EAA" w:rsidP="00413EAA">
      <w:pPr>
        <w:suppressAutoHyphens/>
        <w:rPr>
          <w:rFonts w:eastAsia="Times New Roman" w:cs="Times New Roman"/>
          <w:color w:val="00000A"/>
          <w:lang w:val="es-AR" w:eastAsia="pl-PL"/>
        </w:rPr>
      </w:pPr>
      <w:r>
        <w:rPr>
          <w:rFonts w:eastAsia="Times New Roman" w:cs="Times New Roman"/>
          <w:noProof/>
          <w:color w:val="00000A"/>
          <w:lang w:val="es-AR" w:eastAsia="es-AR"/>
        </w:rPr>
        <w:drawing>
          <wp:inline distT="0" distB="0" distL="0" distR="0" wp14:anchorId="27C4B73A" wp14:editId="40B5E9BD">
            <wp:extent cx="2773045" cy="13470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Logotip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773045" cy="1347026"/>
                    </a:xfrm>
                    <a:prstGeom prst="rect">
                      <a:avLst/>
                    </a:prstGeom>
                  </pic:spPr>
                </pic:pic>
              </a:graphicData>
            </a:graphic>
          </wp:inline>
        </w:drawing>
      </w:r>
    </w:p>
    <w:p w14:paraId="7FB18248" w14:textId="77777777" w:rsidR="00ED6B92" w:rsidRDefault="00413EAA" w:rsidP="00413EAA">
      <w:pPr>
        <w:suppressAutoHyphens/>
        <w:jc w:val="center"/>
        <w:rPr>
          <w:sz w:val="18"/>
          <w:szCs w:val="18"/>
        </w:rPr>
      </w:pPr>
      <w:r w:rsidRPr="007317E8">
        <w:rPr>
          <w:sz w:val="18"/>
          <w:szCs w:val="18"/>
        </w:rPr>
        <w:t xml:space="preserve">Figura </w:t>
      </w:r>
      <w:r w:rsidRPr="007317E8">
        <w:rPr>
          <w:sz w:val="18"/>
          <w:szCs w:val="18"/>
        </w:rPr>
        <w:fldChar w:fldCharType="begin"/>
      </w:r>
      <w:r w:rsidRPr="007317E8">
        <w:rPr>
          <w:sz w:val="18"/>
          <w:szCs w:val="18"/>
        </w:rPr>
        <w:instrText xml:space="preserve"> SEQ Figura \* ARABIC </w:instrText>
      </w:r>
      <w:r w:rsidRPr="007317E8">
        <w:rPr>
          <w:sz w:val="18"/>
          <w:szCs w:val="18"/>
        </w:rPr>
        <w:fldChar w:fldCharType="separate"/>
      </w:r>
      <w:r>
        <w:rPr>
          <w:noProof/>
          <w:sz w:val="18"/>
          <w:szCs w:val="18"/>
        </w:rPr>
        <w:t>4</w:t>
      </w:r>
      <w:r w:rsidRPr="007317E8">
        <w:rPr>
          <w:sz w:val="18"/>
          <w:szCs w:val="18"/>
        </w:rPr>
        <w:fldChar w:fldCharType="end"/>
      </w:r>
      <w:r w:rsidRPr="007317E8">
        <w:rPr>
          <w:sz w:val="18"/>
          <w:szCs w:val="18"/>
        </w:rPr>
        <w:t>. Esquema del amortiguador.</w:t>
      </w:r>
      <w:r>
        <w:rPr>
          <w:sz w:val="18"/>
          <w:szCs w:val="18"/>
        </w:rPr>
        <w:t xml:space="preserve"> </w:t>
      </w:r>
    </w:p>
    <w:p w14:paraId="71CAB3AF" w14:textId="57E00C73" w:rsidR="00413EAA" w:rsidRPr="007317E8" w:rsidRDefault="00413EAA" w:rsidP="00413EAA">
      <w:pPr>
        <w:suppressAutoHyphens/>
        <w:jc w:val="center"/>
        <w:rPr>
          <w:sz w:val="18"/>
          <w:szCs w:val="18"/>
        </w:rPr>
      </w:pPr>
      <w:r>
        <w:rPr>
          <w:sz w:val="18"/>
          <w:szCs w:val="18"/>
        </w:rPr>
        <w:t>Fuente: Elaboración Propia</w:t>
      </w:r>
    </w:p>
    <w:p w14:paraId="5741D7A0" w14:textId="77777777" w:rsidR="00413EAA" w:rsidRPr="00BF1FC0" w:rsidRDefault="00413EAA" w:rsidP="00413EAA">
      <w:pPr>
        <w:suppressAutoHyphens/>
        <w:rPr>
          <w:rFonts w:eastAsia="Times New Roman" w:cs="Times New Roman"/>
          <w:color w:val="00000A"/>
          <w:sz w:val="18"/>
          <w:szCs w:val="18"/>
          <w:lang w:val="es-AR" w:eastAsia="pl-PL"/>
        </w:rPr>
      </w:pPr>
      <w:r w:rsidRPr="00BF1FC0">
        <w:rPr>
          <w:rFonts w:eastAsia="Times New Roman" w:cs="Times New Roman"/>
          <w:b/>
          <w:bCs/>
          <w:color w:val="00000A"/>
          <w:sz w:val="18"/>
          <w:szCs w:val="18"/>
          <w:lang w:val="es-AR" w:eastAsia="pl-PL"/>
        </w:rPr>
        <w:lastRenderedPageBreak/>
        <w:t>Tabla 1.</w:t>
      </w:r>
      <w:r w:rsidRPr="00BF1FC0">
        <w:rPr>
          <w:rFonts w:eastAsia="Times New Roman" w:cs="Times New Roman"/>
          <w:color w:val="00000A"/>
          <w:sz w:val="18"/>
          <w:szCs w:val="18"/>
          <w:lang w:val="es-AR" w:eastAsia="pl-PL"/>
        </w:rPr>
        <w:t xml:space="preserve"> </w:t>
      </w:r>
      <w:r>
        <w:rPr>
          <w:rFonts w:eastAsia="Times New Roman" w:cs="Times New Roman"/>
          <w:color w:val="00000A"/>
          <w:sz w:val="18"/>
          <w:szCs w:val="18"/>
          <w:lang w:val="es-AR" w:eastAsia="pl-PL"/>
        </w:rPr>
        <w:t>P</w:t>
      </w:r>
      <w:r w:rsidRPr="00BF1FC0">
        <w:rPr>
          <w:rFonts w:eastAsia="Times New Roman" w:cs="Times New Roman"/>
          <w:color w:val="00000A"/>
          <w:sz w:val="18"/>
          <w:szCs w:val="18"/>
          <w:lang w:val="es-AR" w:eastAsia="pl-PL"/>
        </w:rPr>
        <w:t>arámetro</w:t>
      </w:r>
      <w:r>
        <w:rPr>
          <w:rFonts w:eastAsia="Times New Roman" w:cs="Times New Roman"/>
          <w:color w:val="00000A"/>
          <w:sz w:val="18"/>
          <w:szCs w:val="18"/>
          <w:lang w:val="es-AR" w:eastAsia="pl-PL"/>
        </w:rPr>
        <w:t>s</w:t>
      </w:r>
      <w:r w:rsidRPr="00BF1FC0">
        <w:rPr>
          <w:rFonts w:eastAsia="Times New Roman" w:cs="Times New Roman"/>
          <w:color w:val="00000A"/>
          <w:sz w:val="18"/>
          <w:szCs w:val="18"/>
          <w:lang w:val="es-AR" w:eastAsia="pl-PL"/>
        </w:rPr>
        <w:t xml:space="preserve"> característico</w:t>
      </w:r>
      <w:r>
        <w:rPr>
          <w:rFonts w:eastAsia="Times New Roman" w:cs="Times New Roman"/>
          <w:color w:val="00000A"/>
          <w:sz w:val="18"/>
          <w:szCs w:val="18"/>
          <w:lang w:val="es-AR" w:eastAsia="pl-PL"/>
        </w:rPr>
        <w:t>s</w:t>
      </w:r>
      <w:r w:rsidRPr="00BF1FC0">
        <w:rPr>
          <w:rFonts w:eastAsia="Times New Roman" w:cs="Times New Roman"/>
          <w:color w:val="00000A"/>
          <w:sz w:val="18"/>
          <w:szCs w:val="18"/>
          <w:lang w:val="es-AR" w:eastAsia="pl-PL"/>
        </w:rPr>
        <w:t xml:space="preserve"> del amortiguador.</w:t>
      </w:r>
    </w:p>
    <w:tbl>
      <w:tblPr>
        <w:tblStyle w:val="Tablaconcuadrcula"/>
        <w:tblW w:w="0" w:type="auto"/>
        <w:tblLook w:val="04A0" w:firstRow="1" w:lastRow="0" w:firstColumn="1" w:lastColumn="0" w:noHBand="0" w:noVBand="1"/>
      </w:tblPr>
      <w:tblGrid>
        <w:gridCol w:w="2178"/>
        <w:gridCol w:w="2179"/>
      </w:tblGrid>
      <w:tr w:rsidR="00413EAA" w14:paraId="35B255CA" w14:textId="77777777" w:rsidTr="00673113">
        <w:tc>
          <w:tcPr>
            <w:tcW w:w="2178" w:type="dxa"/>
            <w:shd w:val="clear" w:color="auto" w:fill="E7E6E6" w:themeFill="background2"/>
          </w:tcPr>
          <w:p w14:paraId="13F9E97F"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Parámetro</w:t>
            </w:r>
          </w:p>
        </w:tc>
        <w:tc>
          <w:tcPr>
            <w:tcW w:w="2179" w:type="dxa"/>
            <w:shd w:val="clear" w:color="auto" w:fill="E7E6E6" w:themeFill="background2"/>
          </w:tcPr>
          <w:p w14:paraId="757F74D7" w14:textId="77777777" w:rsidR="00413EAA" w:rsidRDefault="00413EAA" w:rsidP="00673113">
            <w:pPr>
              <w:suppressAutoHyphens/>
              <w:jc w:val="center"/>
              <w:rPr>
                <w:rFonts w:eastAsia="Times New Roman" w:cs="Times New Roman"/>
                <w:color w:val="00000A"/>
                <w:lang w:val="es-AR" w:eastAsia="pl-PL"/>
              </w:rPr>
            </w:pPr>
            <w:r w:rsidRPr="004C548F">
              <w:rPr>
                <w:rFonts w:eastAsia="Times New Roman" w:cs="Times New Roman"/>
                <w:color w:val="00000A"/>
                <w:lang w:eastAsia="pl-PL"/>
              </w:rPr>
              <w:t>Valor</w:t>
            </w:r>
          </w:p>
        </w:tc>
      </w:tr>
      <w:tr w:rsidR="00413EAA" w14:paraId="64F47F80" w14:textId="77777777" w:rsidTr="00673113">
        <w:tc>
          <w:tcPr>
            <w:tcW w:w="2178" w:type="dxa"/>
          </w:tcPr>
          <w:p w14:paraId="1591FFA0"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A</w:t>
            </w:r>
          </w:p>
        </w:tc>
        <w:tc>
          <w:tcPr>
            <w:tcW w:w="2179" w:type="dxa"/>
          </w:tcPr>
          <w:p w14:paraId="1D085D6A"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0.138 m</w:t>
            </w:r>
          </w:p>
        </w:tc>
      </w:tr>
      <w:tr w:rsidR="00413EAA" w14:paraId="6A3BEE85" w14:textId="77777777" w:rsidTr="00673113">
        <w:tc>
          <w:tcPr>
            <w:tcW w:w="2178" w:type="dxa"/>
          </w:tcPr>
          <w:p w14:paraId="12CC4318"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B</w:t>
            </w:r>
          </w:p>
        </w:tc>
        <w:tc>
          <w:tcPr>
            <w:tcW w:w="2179" w:type="dxa"/>
          </w:tcPr>
          <w:p w14:paraId="4136B148"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0.030 m</w:t>
            </w:r>
          </w:p>
        </w:tc>
      </w:tr>
      <w:tr w:rsidR="00413EAA" w14:paraId="66F6D1E3" w14:textId="77777777" w:rsidTr="00673113">
        <w:tc>
          <w:tcPr>
            <w:tcW w:w="2178" w:type="dxa"/>
          </w:tcPr>
          <w:p w14:paraId="183A5C94"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C</w:t>
            </w:r>
          </w:p>
        </w:tc>
        <w:tc>
          <w:tcPr>
            <w:tcW w:w="2179" w:type="dxa"/>
          </w:tcPr>
          <w:p w14:paraId="11FE61B3"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0.020 m</w:t>
            </w:r>
          </w:p>
        </w:tc>
      </w:tr>
      <w:tr w:rsidR="00413EAA" w14:paraId="4A4AFC0D" w14:textId="77777777" w:rsidTr="00673113">
        <w:tc>
          <w:tcPr>
            <w:tcW w:w="2178" w:type="dxa"/>
          </w:tcPr>
          <w:p w14:paraId="25DEE4B5"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D</w:t>
            </w:r>
          </w:p>
        </w:tc>
        <w:tc>
          <w:tcPr>
            <w:tcW w:w="2179" w:type="dxa"/>
          </w:tcPr>
          <w:p w14:paraId="72F8B52A"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0.088 m</w:t>
            </w:r>
          </w:p>
        </w:tc>
      </w:tr>
      <w:tr w:rsidR="00413EAA" w14:paraId="665A0D7F" w14:textId="77777777" w:rsidTr="00673113">
        <w:tc>
          <w:tcPr>
            <w:tcW w:w="2178" w:type="dxa"/>
          </w:tcPr>
          <w:p w14:paraId="39B458DD"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M</w:t>
            </w:r>
          </w:p>
        </w:tc>
        <w:tc>
          <w:tcPr>
            <w:tcW w:w="2179" w:type="dxa"/>
          </w:tcPr>
          <w:p w14:paraId="56C1DD77" w14:textId="77777777" w:rsidR="00413EAA" w:rsidRDefault="00413EAA" w:rsidP="00673113">
            <w:pPr>
              <w:suppressAutoHyphens/>
              <w:jc w:val="center"/>
              <w:rPr>
                <w:rFonts w:eastAsia="Times New Roman" w:cs="Times New Roman"/>
                <w:color w:val="00000A"/>
                <w:lang w:val="es-AR" w:eastAsia="pl-PL"/>
              </w:rPr>
            </w:pPr>
            <w:r>
              <w:rPr>
                <w:rFonts w:eastAsia="Times New Roman" w:cs="Times New Roman"/>
                <w:color w:val="00000A"/>
                <w:lang w:val="es-AR" w:eastAsia="pl-PL"/>
              </w:rPr>
              <w:t>0.640 kg</w:t>
            </w:r>
          </w:p>
        </w:tc>
      </w:tr>
    </w:tbl>
    <w:p w14:paraId="4C56DCF1" w14:textId="5B2B956E" w:rsidR="00A938AB" w:rsidRPr="00803946" w:rsidRDefault="00413EAA" w:rsidP="002E2C39">
      <w:pPr>
        <w:rPr>
          <w:noProof/>
          <w:lang w:eastAsia="es-CO"/>
        </w:rPr>
      </w:pPr>
      <w:r>
        <w:rPr>
          <w:noProof/>
          <w:lang w:eastAsia="es-CO"/>
        </w:rPr>
        <w:t>Fuente: Elaboración propia</w:t>
      </w:r>
    </w:p>
    <w:p w14:paraId="0636DA8B" w14:textId="16C3FDB4" w:rsidR="009B4D5F" w:rsidRDefault="009B4D5F" w:rsidP="002E2C39">
      <w:pPr>
        <w:rPr>
          <w:noProof/>
          <w:lang w:eastAsia="es-CO"/>
        </w:rPr>
      </w:pPr>
    </w:p>
    <w:p w14:paraId="00433796" w14:textId="7E77A779" w:rsidR="00A938AB" w:rsidRPr="00E34FCE" w:rsidRDefault="00A938AB" w:rsidP="00A938AB">
      <w:pPr>
        <w:pStyle w:val="Ttulo1"/>
      </w:pPr>
      <w:r w:rsidRPr="00E34FCE">
        <w:t>R</w:t>
      </w:r>
      <w:r w:rsidR="00ED6B92">
        <w:t>esultados</w:t>
      </w:r>
    </w:p>
    <w:p w14:paraId="15E1533E" w14:textId="77777777" w:rsidR="00A938AB" w:rsidRDefault="00A938AB" w:rsidP="002E2C39">
      <w:pPr>
        <w:rPr>
          <w:noProof/>
          <w:lang w:eastAsia="es-CO"/>
        </w:rPr>
      </w:pPr>
    </w:p>
    <w:p w14:paraId="70452060" w14:textId="77777777" w:rsidR="00ED6B92" w:rsidRPr="004D0A0F" w:rsidRDefault="00ED6B92" w:rsidP="00ED6B92">
      <w:pPr>
        <w:suppressAutoHyphens/>
        <w:rPr>
          <w:rFonts w:eastAsia="Times New Roman" w:cs="Times New Roman"/>
          <w:color w:val="00000A"/>
          <w:lang w:val="es-AR" w:eastAsia="pl-PL"/>
        </w:rPr>
      </w:pPr>
      <w:r>
        <w:rPr>
          <w:rFonts w:eastAsia="Times New Roman" w:cs="Times New Roman"/>
          <w:color w:val="00000A"/>
          <w:lang w:val="es-AR" w:eastAsia="pl-PL"/>
        </w:rPr>
        <w:t xml:space="preserve">En este apartado se presentan los resultados obtenidos del proceso de inversión bayesiana contrastando la </w:t>
      </w:r>
      <w:r w:rsidRPr="004D0A0F">
        <w:rPr>
          <w:rFonts w:eastAsia="Times New Roman" w:cs="Times New Roman"/>
          <w:color w:val="00000A"/>
          <w:lang w:val="es-AR" w:eastAsia="pl-PL"/>
        </w:rPr>
        <w:t>propagación de incertidumbre de las distribuciones posteriores con los datos experimentales.</w:t>
      </w:r>
    </w:p>
    <w:p w14:paraId="26F7E914" w14:textId="77777777" w:rsidR="00ED6B92" w:rsidRPr="004D0A0F" w:rsidRDefault="00ED6B92" w:rsidP="00ED6B92">
      <w:pPr>
        <w:rPr>
          <w:lang w:val="es-AR"/>
        </w:rPr>
      </w:pPr>
      <w:bookmarkStart w:id="5" w:name="_Hlk112447093"/>
      <w:r w:rsidRPr="004D0A0F">
        <w:rPr>
          <w:lang w:val="es-AR"/>
        </w:rPr>
        <w:t xml:space="preserve">En primer término, se debe mencionar que la implementación del </w:t>
      </w:r>
      <w:proofErr w:type="spellStart"/>
      <w:r w:rsidRPr="004D0A0F">
        <w:rPr>
          <w:lang w:val="es-AR"/>
        </w:rPr>
        <w:t>metamodelo</w:t>
      </w:r>
      <w:proofErr w:type="spellEnd"/>
      <w:r w:rsidRPr="004D0A0F">
        <w:rPr>
          <w:lang w:val="es-AR"/>
        </w:rPr>
        <w:t xml:space="preserve"> PCK fue realizado a partir de 81 evaluaciones del modelo de elementos finitos determinístico en 32 frecuencias de interés (5 a 37 Hz). Dado que la respuesta del modelo numérico proporciona un gran número de variables de salida que varían en el tiempo, el </w:t>
      </w:r>
      <w:proofErr w:type="spellStart"/>
      <w:r w:rsidRPr="004D0A0F">
        <w:rPr>
          <w:lang w:val="es-AR"/>
        </w:rPr>
        <w:t>metamodelo</w:t>
      </w:r>
      <w:proofErr w:type="spellEnd"/>
      <w:r w:rsidRPr="004D0A0F">
        <w:rPr>
          <w:lang w:val="es-AR"/>
        </w:rPr>
        <w:t xml:space="preserve"> intenta reproducir el comportamiento dinámico del amortiguador a partir de un número reducido de parámetros de salida como ser los valores de impedancia en correspondencia con las frecuencias de resonancia del modelo, el valor de estas, y el gradiente de impedancia en torno a estas frecuencias de interés.  </w:t>
      </w:r>
    </w:p>
    <w:p w14:paraId="0FB574D1" w14:textId="77777777" w:rsidR="00ED6B92" w:rsidRPr="004D0A0F" w:rsidRDefault="00ED6B92" w:rsidP="00ED6B92">
      <w:pPr>
        <w:suppressAutoHyphens/>
        <w:rPr>
          <w:lang w:val="es-AR"/>
        </w:rPr>
      </w:pPr>
      <w:r w:rsidRPr="004D0A0F">
        <w:rPr>
          <w:rFonts w:eastAsia="Times New Roman" w:cs="Times New Roman"/>
          <w:color w:val="00000A"/>
          <w:lang w:val="es-AR" w:eastAsia="pl-PL"/>
        </w:rPr>
        <w:t xml:space="preserve">En la Figura 5 se presentan las distribuciones posteriores de los parámetros del modelo obtenidas a través del proceso de inversión Bayesiana. En la misma se indican los 20 puntos obtenidos de la aplicación del método LHS. A partir de estos puntos </w:t>
      </w:r>
      <w:bookmarkEnd w:id="5"/>
      <w:r w:rsidRPr="004D0A0F">
        <w:rPr>
          <w:rFonts w:eastAsia="Times New Roman" w:cs="Times New Roman"/>
          <w:color w:val="00000A"/>
          <w:lang w:val="es-AR" w:eastAsia="pl-PL"/>
        </w:rPr>
        <w:t>se realiza la propagación de incertidumbre en el modelo numérico</w:t>
      </w:r>
      <w:r w:rsidRPr="004D0A0F">
        <w:rPr>
          <w:lang w:val="es-AR"/>
        </w:rPr>
        <w:t xml:space="preserve"> en cada una de las frecuencias de interés.</w:t>
      </w:r>
    </w:p>
    <w:p w14:paraId="3F4F3384" w14:textId="77777777" w:rsidR="00ED6B92" w:rsidRDefault="00ED6B92" w:rsidP="00ED6B92">
      <w:pPr>
        <w:suppressAutoHyphens/>
        <w:rPr>
          <w:rFonts w:eastAsia="Times New Roman" w:cs="Times New Roman"/>
          <w:color w:val="00000A"/>
          <w:lang w:val="es-AR" w:eastAsia="pl-PL"/>
        </w:rPr>
      </w:pPr>
      <w:r>
        <w:rPr>
          <w:rFonts w:eastAsia="Times New Roman" w:cs="Times New Roman"/>
          <w:color w:val="00000A"/>
          <w:lang w:val="es-AR" w:eastAsia="pl-PL"/>
        </w:rPr>
        <w:t xml:space="preserve">En la Figura 6 y 7 se exponen respectivamente, la propagación de la amplitud y la fase del modelo numérico calibrado contrastado con los datos experimentales. Se evidencia un buen ajuste del modelo con el comportamiento experimental del amortiguador en el rango de frecuencias de interés. En este sentido, debe destacarse que las frecuencias de resonancias del modelo, tanto flexional (primer modo) como torsional (segundo modo), se corresponden satisfactoriamente con las observaciones realizadas. Con respecto a la amplitud de la impedancia mecánica, el intervalo de confianza obtenido explica adecuadamente el comportamiento observado del amortiguador.  </w:t>
      </w:r>
    </w:p>
    <w:p w14:paraId="5C7834A1" w14:textId="77777777" w:rsidR="00ED6B92" w:rsidRDefault="00ED6B92" w:rsidP="00ED6B92">
      <w:pPr>
        <w:suppressAutoHyphens/>
        <w:rPr>
          <w:rFonts w:eastAsia="Times New Roman" w:cs="Times New Roman"/>
          <w:color w:val="00000A"/>
          <w:lang w:val="es-AR" w:eastAsia="pl-PL"/>
        </w:rPr>
      </w:pPr>
      <w:r>
        <w:rPr>
          <w:rFonts w:eastAsia="Times New Roman" w:cs="Times New Roman"/>
          <w:color w:val="00000A"/>
          <w:lang w:val="es-AR" w:eastAsia="pl-PL"/>
        </w:rPr>
        <w:t>Además, la propagación de la incertidumbre de la fase del modelo numérico se ajusta adecuadamente a los datos experimentales en la mayor parte del intervalo de frecuencias, teniendo una discrepancia significativa en las últimas frecuencias, una vez superado el segundo modo de resonancia. Se debe destacar que en esta zona los datos experimentales presentan una gran variabilidad.</w:t>
      </w:r>
    </w:p>
    <w:p w14:paraId="7823F0A1" w14:textId="77777777" w:rsidR="00ED6B92" w:rsidRDefault="00ED6B92" w:rsidP="00ED6B92">
      <w:pPr>
        <w:rPr>
          <w:lang w:val="es-AR"/>
        </w:rPr>
        <w:sectPr w:rsidR="00ED6B92" w:rsidSect="0073610A">
          <w:type w:val="continuous"/>
          <w:pgSz w:w="11906" w:h="16838" w:code="9"/>
          <w:pgMar w:top="1134" w:right="1418" w:bottom="1418" w:left="1418" w:header="1064" w:footer="709" w:gutter="0"/>
          <w:cols w:num="2" w:space="335"/>
          <w:docGrid w:linePitch="360"/>
        </w:sectPr>
      </w:pPr>
    </w:p>
    <w:p w14:paraId="15D3562A" w14:textId="77777777" w:rsidR="00ED6B92" w:rsidRDefault="00ED6B92" w:rsidP="00ED6B92">
      <w:pPr>
        <w:keepNext/>
        <w:jc w:val="center"/>
      </w:pPr>
      <w:r>
        <w:rPr>
          <w:noProof/>
          <w:lang w:val="es-AR" w:eastAsia="es-AR"/>
        </w:rPr>
        <w:lastRenderedPageBreak/>
        <w:drawing>
          <wp:inline distT="0" distB="0" distL="0" distR="0" wp14:anchorId="28686E24" wp14:editId="49561140">
            <wp:extent cx="5759450" cy="6920230"/>
            <wp:effectExtent l="0" t="0" r="0" b="0"/>
            <wp:docPr id="18" name="Imagen 18"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alendari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6920230"/>
                    </a:xfrm>
                    <a:prstGeom prst="rect">
                      <a:avLst/>
                    </a:prstGeom>
                  </pic:spPr>
                </pic:pic>
              </a:graphicData>
            </a:graphic>
          </wp:inline>
        </w:drawing>
      </w:r>
    </w:p>
    <w:p w14:paraId="679D3E88" w14:textId="47BED9AC" w:rsidR="00ED6B92" w:rsidRPr="007317E8" w:rsidRDefault="00ED6B92" w:rsidP="00ED6B92">
      <w:pPr>
        <w:spacing w:after="160" w:line="259" w:lineRule="auto"/>
        <w:jc w:val="center"/>
        <w:rPr>
          <w:rFonts w:eastAsiaTheme="minorEastAsia"/>
          <w:iCs/>
          <w:szCs w:val="18"/>
          <w:lang w:eastAsia="es-CO"/>
        </w:rPr>
      </w:pPr>
      <w:r w:rsidRPr="007317E8">
        <w:rPr>
          <w:rFonts w:eastAsiaTheme="minorEastAsia"/>
          <w:iCs/>
          <w:szCs w:val="18"/>
          <w:lang w:eastAsia="es-CO"/>
        </w:rPr>
        <w:t xml:space="preserve">Figura </w:t>
      </w:r>
      <w:r w:rsidRPr="007317E8">
        <w:rPr>
          <w:rFonts w:eastAsiaTheme="minorEastAsia"/>
          <w:iCs/>
          <w:szCs w:val="18"/>
          <w:lang w:eastAsia="es-CO"/>
        </w:rPr>
        <w:fldChar w:fldCharType="begin"/>
      </w:r>
      <w:r w:rsidRPr="007317E8">
        <w:rPr>
          <w:rFonts w:eastAsiaTheme="minorEastAsia"/>
          <w:iCs/>
          <w:szCs w:val="18"/>
          <w:lang w:eastAsia="es-CO"/>
        </w:rPr>
        <w:instrText xml:space="preserve"> SEQ Figura \* ARABIC </w:instrText>
      </w:r>
      <w:r w:rsidRPr="007317E8">
        <w:rPr>
          <w:rFonts w:eastAsiaTheme="minorEastAsia"/>
          <w:iCs/>
          <w:szCs w:val="18"/>
          <w:lang w:eastAsia="es-CO"/>
        </w:rPr>
        <w:fldChar w:fldCharType="separate"/>
      </w:r>
      <w:r>
        <w:rPr>
          <w:rFonts w:eastAsiaTheme="minorEastAsia"/>
          <w:iCs/>
          <w:noProof/>
          <w:szCs w:val="18"/>
          <w:lang w:eastAsia="es-CO"/>
        </w:rPr>
        <w:t>5</w:t>
      </w:r>
      <w:r w:rsidRPr="007317E8">
        <w:rPr>
          <w:rFonts w:eastAsiaTheme="minorEastAsia"/>
          <w:iCs/>
          <w:szCs w:val="18"/>
          <w:lang w:eastAsia="es-CO"/>
        </w:rPr>
        <w:fldChar w:fldCharType="end"/>
      </w:r>
      <w:r w:rsidRPr="007317E8">
        <w:rPr>
          <w:rFonts w:eastAsiaTheme="minorEastAsia"/>
          <w:iCs/>
          <w:szCs w:val="18"/>
          <w:lang w:eastAsia="es-CO"/>
        </w:rPr>
        <w:t>: Distribuciones posteriores de los parámetros y puntos utilizados en la propagación de incertidumbre</w:t>
      </w:r>
      <w:r>
        <w:rPr>
          <w:rFonts w:eastAsiaTheme="minorEastAsia"/>
          <w:iCs/>
          <w:szCs w:val="18"/>
          <w:lang w:eastAsia="es-CO"/>
        </w:rPr>
        <w:t>: Fuente: Elaboración Propia</w:t>
      </w:r>
    </w:p>
    <w:p w14:paraId="1674C6DE" w14:textId="77777777" w:rsidR="00ED6B92" w:rsidRPr="00C52EEF" w:rsidRDefault="00ED6B92" w:rsidP="00ED6B92"/>
    <w:p w14:paraId="18FDF5DD" w14:textId="77777777" w:rsidR="00ED6B92" w:rsidRDefault="00ED6B92" w:rsidP="00ED6B92">
      <w:pPr>
        <w:rPr>
          <w:lang w:val="es-AR"/>
        </w:rPr>
        <w:sectPr w:rsidR="00ED6B92" w:rsidSect="003230C4">
          <w:type w:val="continuous"/>
          <w:pgSz w:w="11906" w:h="16838" w:code="9"/>
          <w:pgMar w:top="1134" w:right="1418" w:bottom="1418" w:left="1418" w:header="1064" w:footer="709" w:gutter="0"/>
          <w:cols w:space="335"/>
          <w:docGrid w:linePitch="360"/>
        </w:sectPr>
      </w:pPr>
    </w:p>
    <w:p w14:paraId="61CDD023" w14:textId="77777777" w:rsidR="00ED6B92" w:rsidRDefault="00ED6B92" w:rsidP="00ED6B92">
      <w:pPr>
        <w:rPr>
          <w:lang w:val="es-AR"/>
        </w:rPr>
      </w:pPr>
    </w:p>
    <w:p w14:paraId="2FB6B90A" w14:textId="77777777" w:rsidR="00ED6B92" w:rsidRDefault="00ED6B92" w:rsidP="00ED6B92">
      <w:pPr>
        <w:rPr>
          <w:lang w:val="es-AR"/>
        </w:rPr>
      </w:pPr>
    </w:p>
    <w:p w14:paraId="0FE584CF" w14:textId="77777777" w:rsidR="00ED6B92" w:rsidRDefault="00ED6B92" w:rsidP="00ED6B92">
      <w:pPr>
        <w:suppressAutoHyphens/>
        <w:rPr>
          <w:rFonts w:eastAsia="Times New Roman" w:cs="Times New Roman"/>
          <w:color w:val="00000A"/>
          <w:lang w:val="es-AR" w:eastAsia="pl-PL"/>
        </w:rPr>
      </w:pPr>
    </w:p>
    <w:p w14:paraId="7324BA4F" w14:textId="77777777" w:rsidR="00ED6B92" w:rsidRPr="00D70C44" w:rsidRDefault="00ED6B92" w:rsidP="00ED6B92">
      <w:pPr>
        <w:suppressAutoHyphens/>
        <w:rPr>
          <w:rFonts w:eastAsia="Times New Roman" w:cs="Times New Roman"/>
          <w:color w:val="00000A"/>
          <w:lang w:val="es-AR" w:eastAsia="pl-PL"/>
        </w:rPr>
      </w:pPr>
    </w:p>
    <w:p w14:paraId="630C62FB" w14:textId="77777777" w:rsidR="00ED6B92" w:rsidRDefault="00ED6B92" w:rsidP="00ED6B92">
      <w:pPr>
        <w:keepNext/>
        <w:spacing w:after="160" w:line="259" w:lineRule="auto"/>
        <w:jc w:val="left"/>
      </w:pPr>
      <w:r>
        <w:rPr>
          <w:rFonts w:eastAsia="Times New Roman" w:cs="Times New Roman"/>
          <w:noProof/>
          <w:color w:val="00000A"/>
          <w:lang w:val="es-AR" w:eastAsia="es-AR"/>
        </w:rPr>
        <w:lastRenderedPageBreak/>
        <w:drawing>
          <wp:inline distT="0" distB="0" distL="0" distR="0" wp14:anchorId="05E0AA9B" wp14:editId="16FDB46F">
            <wp:extent cx="2773045" cy="2167890"/>
            <wp:effectExtent l="0" t="0" r="8255" b="3810"/>
            <wp:docPr id="11" name="Imagen 1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045" cy="2167890"/>
                    </a:xfrm>
                    <a:prstGeom prst="rect">
                      <a:avLst/>
                    </a:prstGeom>
                  </pic:spPr>
                </pic:pic>
              </a:graphicData>
            </a:graphic>
          </wp:inline>
        </w:drawing>
      </w:r>
    </w:p>
    <w:p w14:paraId="6D3E21CE" w14:textId="11F3E48B" w:rsidR="00ED6B92" w:rsidRPr="007317E8" w:rsidRDefault="00ED6B92" w:rsidP="00ED6B92">
      <w:pPr>
        <w:spacing w:after="160" w:line="259" w:lineRule="auto"/>
        <w:jc w:val="center"/>
        <w:rPr>
          <w:rFonts w:eastAsiaTheme="minorEastAsia"/>
          <w:iCs/>
          <w:szCs w:val="18"/>
          <w:lang w:eastAsia="es-CO"/>
        </w:rPr>
      </w:pPr>
      <w:r w:rsidRPr="004739A6">
        <w:rPr>
          <w:rFonts w:eastAsiaTheme="minorEastAsia"/>
          <w:iCs/>
          <w:szCs w:val="18"/>
          <w:lang w:eastAsia="es-CO"/>
        </w:rPr>
        <w:t xml:space="preserve">Figura </w:t>
      </w:r>
      <w:r w:rsidRPr="004739A6">
        <w:rPr>
          <w:rFonts w:eastAsiaTheme="minorEastAsia"/>
          <w:iCs/>
          <w:szCs w:val="18"/>
          <w:lang w:eastAsia="es-CO"/>
        </w:rPr>
        <w:fldChar w:fldCharType="begin"/>
      </w:r>
      <w:r w:rsidRPr="004739A6">
        <w:rPr>
          <w:rFonts w:eastAsiaTheme="minorEastAsia"/>
          <w:iCs/>
          <w:szCs w:val="18"/>
          <w:lang w:eastAsia="es-CO"/>
        </w:rPr>
        <w:instrText xml:space="preserve"> SEQ Figura \* ARABIC </w:instrText>
      </w:r>
      <w:r w:rsidRPr="004739A6">
        <w:rPr>
          <w:rFonts w:eastAsiaTheme="minorEastAsia"/>
          <w:iCs/>
          <w:szCs w:val="18"/>
          <w:lang w:eastAsia="es-CO"/>
        </w:rPr>
        <w:fldChar w:fldCharType="separate"/>
      </w:r>
      <w:r>
        <w:rPr>
          <w:rFonts w:eastAsiaTheme="minorEastAsia"/>
          <w:iCs/>
          <w:noProof/>
          <w:szCs w:val="18"/>
          <w:lang w:eastAsia="es-CO"/>
        </w:rPr>
        <w:t>6</w:t>
      </w:r>
      <w:r w:rsidRPr="004739A6">
        <w:rPr>
          <w:rFonts w:eastAsiaTheme="minorEastAsia"/>
          <w:iCs/>
          <w:szCs w:val="18"/>
          <w:lang w:eastAsia="es-CO"/>
        </w:rPr>
        <w:fldChar w:fldCharType="end"/>
      </w:r>
      <w:r w:rsidRPr="004739A6">
        <w:rPr>
          <w:rFonts w:eastAsiaTheme="minorEastAsia"/>
          <w:iCs/>
          <w:szCs w:val="18"/>
          <w:lang w:eastAsia="es-CO"/>
        </w:rPr>
        <w:t xml:space="preserve">. </w:t>
      </w:r>
      <w:r w:rsidRPr="007317E8">
        <w:rPr>
          <w:rFonts w:eastAsiaTheme="minorEastAsia"/>
          <w:iCs/>
          <w:szCs w:val="18"/>
          <w:lang w:eastAsia="es-CO"/>
        </w:rPr>
        <w:t>Amplitud de la impedancia mecánica.</w:t>
      </w:r>
      <w:r>
        <w:rPr>
          <w:rFonts w:eastAsiaTheme="minorEastAsia"/>
          <w:iCs/>
          <w:szCs w:val="18"/>
          <w:lang w:eastAsia="es-CO"/>
        </w:rPr>
        <w:t xml:space="preserve"> Fuente: Elaboración propia</w:t>
      </w:r>
    </w:p>
    <w:p w14:paraId="03A3C7E3" w14:textId="77777777" w:rsidR="00ED6B92" w:rsidRDefault="00ED6B92" w:rsidP="00ED6B92">
      <w:pPr>
        <w:keepNext/>
        <w:spacing w:after="160" w:line="259" w:lineRule="auto"/>
        <w:jc w:val="left"/>
      </w:pPr>
      <w:r>
        <w:rPr>
          <w:rFonts w:eastAsia="Times New Roman" w:cs="Times New Roman"/>
          <w:noProof/>
          <w:color w:val="00000A"/>
          <w:lang w:val="es-AR" w:eastAsia="es-AR"/>
        </w:rPr>
        <w:drawing>
          <wp:inline distT="0" distB="0" distL="0" distR="0" wp14:anchorId="1DFFBBAD" wp14:editId="76CF9BE9">
            <wp:extent cx="2773045" cy="2043430"/>
            <wp:effectExtent l="0" t="0" r="8255" b="0"/>
            <wp:docPr id="7" name="Imagen 7"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Gráfic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3045" cy="2043430"/>
                    </a:xfrm>
                    <a:prstGeom prst="rect">
                      <a:avLst/>
                    </a:prstGeom>
                  </pic:spPr>
                </pic:pic>
              </a:graphicData>
            </a:graphic>
          </wp:inline>
        </w:drawing>
      </w:r>
    </w:p>
    <w:p w14:paraId="533ECE2F" w14:textId="77777777" w:rsidR="00ED6B92" w:rsidRDefault="00ED6B92" w:rsidP="00ED6B92">
      <w:pPr>
        <w:spacing w:line="259" w:lineRule="auto"/>
        <w:jc w:val="center"/>
        <w:rPr>
          <w:rFonts w:eastAsiaTheme="minorEastAsia"/>
          <w:iCs/>
          <w:szCs w:val="18"/>
          <w:lang w:eastAsia="es-CO"/>
        </w:rPr>
      </w:pPr>
      <w:r w:rsidRPr="004739A6">
        <w:rPr>
          <w:rFonts w:eastAsiaTheme="minorEastAsia"/>
          <w:iCs/>
          <w:szCs w:val="18"/>
          <w:lang w:eastAsia="es-CO"/>
        </w:rPr>
        <w:t xml:space="preserve">Figura </w:t>
      </w:r>
      <w:r w:rsidRPr="004739A6">
        <w:rPr>
          <w:rFonts w:eastAsiaTheme="minorEastAsia"/>
          <w:iCs/>
          <w:szCs w:val="18"/>
          <w:lang w:eastAsia="es-CO"/>
        </w:rPr>
        <w:fldChar w:fldCharType="begin"/>
      </w:r>
      <w:r w:rsidRPr="004739A6">
        <w:rPr>
          <w:rFonts w:eastAsiaTheme="minorEastAsia"/>
          <w:iCs/>
          <w:szCs w:val="18"/>
          <w:lang w:eastAsia="es-CO"/>
        </w:rPr>
        <w:instrText xml:space="preserve"> SEQ Figura \* ARABIC </w:instrText>
      </w:r>
      <w:r w:rsidRPr="004739A6">
        <w:rPr>
          <w:rFonts w:eastAsiaTheme="minorEastAsia"/>
          <w:iCs/>
          <w:szCs w:val="18"/>
          <w:lang w:eastAsia="es-CO"/>
        </w:rPr>
        <w:fldChar w:fldCharType="separate"/>
      </w:r>
      <w:r>
        <w:rPr>
          <w:rFonts w:eastAsiaTheme="minorEastAsia"/>
          <w:iCs/>
          <w:noProof/>
          <w:szCs w:val="18"/>
          <w:lang w:eastAsia="es-CO"/>
        </w:rPr>
        <w:t>7</w:t>
      </w:r>
      <w:r w:rsidRPr="004739A6">
        <w:rPr>
          <w:rFonts w:eastAsiaTheme="minorEastAsia"/>
          <w:iCs/>
          <w:szCs w:val="18"/>
          <w:lang w:eastAsia="es-CO"/>
        </w:rPr>
        <w:fldChar w:fldCharType="end"/>
      </w:r>
      <w:r w:rsidRPr="004739A6">
        <w:rPr>
          <w:rFonts w:eastAsiaTheme="minorEastAsia"/>
          <w:iCs/>
          <w:szCs w:val="18"/>
          <w:lang w:eastAsia="es-CO"/>
        </w:rPr>
        <w:t xml:space="preserve">. </w:t>
      </w:r>
      <w:r>
        <w:rPr>
          <w:rFonts w:eastAsiaTheme="minorEastAsia"/>
          <w:iCs/>
          <w:szCs w:val="18"/>
          <w:lang w:eastAsia="es-CO"/>
        </w:rPr>
        <w:t xml:space="preserve">Fase de la impedancia mecánica. </w:t>
      </w:r>
    </w:p>
    <w:p w14:paraId="3D380018" w14:textId="2B78BD04" w:rsidR="00ED6B92" w:rsidRDefault="00ED6B92" w:rsidP="00ED6B92">
      <w:pPr>
        <w:spacing w:after="160" w:line="259" w:lineRule="auto"/>
        <w:jc w:val="center"/>
        <w:rPr>
          <w:rFonts w:eastAsiaTheme="minorEastAsia"/>
          <w:iCs/>
          <w:szCs w:val="18"/>
          <w:lang w:eastAsia="es-CO"/>
        </w:rPr>
      </w:pPr>
      <w:r>
        <w:rPr>
          <w:rFonts w:eastAsiaTheme="minorEastAsia"/>
          <w:iCs/>
          <w:szCs w:val="18"/>
          <w:lang w:eastAsia="es-CO"/>
        </w:rPr>
        <w:t>Fuente: Elaboración propia</w:t>
      </w:r>
    </w:p>
    <w:p w14:paraId="62112F16" w14:textId="77777777" w:rsidR="00A938AB" w:rsidRDefault="00A938AB" w:rsidP="002E2C39">
      <w:pPr>
        <w:rPr>
          <w:noProof/>
          <w:lang w:eastAsia="es-CO"/>
        </w:rPr>
      </w:pPr>
    </w:p>
    <w:p w14:paraId="7D52B545" w14:textId="6D2A50F4" w:rsidR="00A938AB" w:rsidRPr="00E34FCE" w:rsidRDefault="00ED6B92" w:rsidP="00A938AB">
      <w:pPr>
        <w:pStyle w:val="Ttulo1"/>
      </w:pPr>
      <w:r>
        <w:t>Conclusiones</w:t>
      </w:r>
    </w:p>
    <w:p w14:paraId="2DB8229A" w14:textId="77777777" w:rsidR="00A938AB" w:rsidRDefault="00A938AB" w:rsidP="002E2C39">
      <w:pPr>
        <w:rPr>
          <w:noProof/>
          <w:lang w:eastAsia="es-CO"/>
        </w:rPr>
      </w:pPr>
    </w:p>
    <w:p w14:paraId="0D3188D2" w14:textId="77777777" w:rsidR="00ED6B92" w:rsidRDefault="00ED6B92" w:rsidP="00ED6B92">
      <w:pPr>
        <w:suppressAutoHyphens/>
        <w:rPr>
          <w:rFonts w:eastAsia="Times New Roman" w:cs="Times New Roman"/>
          <w:color w:val="00000A"/>
          <w:lang w:val="es-AR" w:eastAsia="pl-PL"/>
        </w:rPr>
      </w:pPr>
      <w:r>
        <w:rPr>
          <w:rFonts w:eastAsia="Times New Roman" w:cs="Times New Roman"/>
          <w:color w:val="00000A"/>
          <w:lang w:val="es-AR" w:eastAsia="pl-PL"/>
        </w:rPr>
        <w:t>La metodología propuesta permite modelar el comportamiento dinámico no lineal del amortiguador contemplando la variabilidad de los parámetros de diseño.</w:t>
      </w:r>
    </w:p>
    <w:p w14:paraId="405AA0CD" w14:textId="77777777" w:rsidR="00ED6B92" w:rsidRDefault="00ED6B92" w:rsidP="00ED6B92">
      <w:pPr>
        <w:suppressAutoHyphens/>
        <w:rPr>
          <w:rFonts w:eastAsia="Times New Roman" w:cs="Times New Roman"/>
          <w:color w:val="00000A"/>
          <w:lang w:val="es-AR" w:eastAsia="pl-PL"/>
        </w:rPr>
      </w:pPr>
      <w:r>
        <w:rPr>
          <w:rFonts w:eastAsia="Times New Roman" w:cs="Times New Roman"/>
          <w:color w:val="00000A"/>
          <w:lang w:val="es-AR" w:eastAsia="pl-PL"/>
        </w:rPr>
        <w:t xml:space="preserve">Mediante la aplicación del </w:t>
      </w:r>
      <w:proofErr w:type="spellStart"/>
      <w:r>
        <w:rPr>
          <w:rFonts w:eastAsia="Times New Roman" w:cs="Times New Roman"/>
          <w:color w:val="00000A"/>
          <w:lang w:val="es-AR" w:eastAsia="pl-PL"/>
        </w:rPr>
        <w:t>metamodelo</w:t>
      </w:r>
      <w:proofErr w:type="spellEnd"/>
      <w:r>
        <w:rPr>
          <w:rFonts w:eastAsia="Times New Roman" w:cs="Times New Roman"/>
          <w:color w:val="00000A"/>
          <w:lang w:val="es-AR" w:eastAsia="pl-PL"/>
        </w:rPr>
        <w:t xml:space="preserve"> PCK se reduce significativamente el costo computacional asociado a la evaluación del problema inverso. La cuantificación de la incertidumbre permite evaluar la variabilidad de la respuesta del sistema.</w:t>
      </w:r>
    </w:p>
    <w:p w14:paraId="0C142EC3" w14:textId="6FD7C15F" w:rsidR="00A938AB" w:rsidRDefault="00ED6B92" w:rsidP="00ED6B92">
      <w:pPr>
        <w:rPr>
          <w:rFonts w:eastAsia="Times New Roman" w:cs="Times New Roman"/>
          <w:color w:val="00000A"/>
          <w:lang w:val="es-AR" w:eastAsia="pl-PL"/>
        </w:rPr>
      </w:pPr>
      <w:r>
        <w:rPr>
          <w:rFonts w:eastAsia="Times New Roman" w:cs="Times New Roman"/>
          <w:color w:val="00000A"/>
          <w:lang w:val="es-AR" w:eastAsia="pl-PL"/>
        </w:rPr>
        <w:t xml:space="preserve">Finalmente, la herramienta de cálculo desarrollada permitirá ensamblar el modelo del amortiguador en un sistema global de elementos finitos de complejidad creciente, como ser el conjunto cable-amortiguador, para analizar el comportamiento </w:t>
      </w:r>
      <w:proofErr w:type="spellStart"/>
      <w:r>
        <w:rPr>
          <w:rFonts w:eastAsia="Times New Roman" w:cs="Times New Roman"/>
          <w:color w:val="00000A"/>
          <w:lang w:val="es-AR" w:eastAsia="pl-PL"/>
        </w:rPr>
        <w:t>vibracional</w:t>
      </w:r>
      <w:proofErr w:type="spellEnd"/>
      <w:r>
        <w:rPr>
          <w:rFonts w:eastAsia="Times New Roman" w:cs="Times New Roman"/>
          <w:color w:val="00000A"/>
          <w:lang w:val="es-AR" w:eastAsia="pl-PL"/>
        </w:rPr>
        <w:t xml:space="preserve"> frente a la acción eólica de naturaleza estocástica. En particular se propone evaluar en futuros trabajos la confiabilidad del sistema </w:t>
      </w:r>
      <w:proofErr w:type="spellStart"/>
      <w:r>
        <w:rPr>
          <w:rFonts w:eastAsia="Times New Roman" w:cs="Times New Roman"/>
          <w:color w:val="00000A"/>
          <w:lang w:val="es-AR" w:eastAsia="pl-PL"/>
        </w:rPr>
        <w:t>amortiguante</w:t>
      </w:r>
      <w:proofErr w:type="spellEnd"/>
      <w:r>
        <w:rPr>
          <w:rFonts w:eastAsia="Times New Roman" w:cs="Times New Roman"/>
          <w:color w:val="00000A"/>
          <w:lang w:val="es-AR" w:eastAsia="pl-PL"/>
        </w:rPr>
        <w:t xml:space="preserve"> de la línea a partir de la aplicación de técnicas de optimización numérica.</w:t>
      </w:r>
    </w:p>
    <w:p w14:paraId="43223EBD" w14:textId="77777777" w:rsidR="00ED6B92" w:rsidRDefault="00ED6B92" w:rsidP="00ED6B92">
      <w:pPr>
        <w:rPr>
          <w:rFonts w:eastAsia="Times New Roman" w:cs="Times New Roman"/>
          <w:color w:val="00000A"/>
          <w:lang w:val="es-AR" w:eastAsia="pl-PL"/>
        </w:rPr>
      </w:pPr>
    </w:p>
    <w:p w14:paraId="13CDC1CA" w14:textId="77777777" w:rsidR="00ED6B92" w:rsidRDefault="00ED6B92" w:rsidP="00ED6B92">
      <w:pPr>
        <w:rPr>
          <w:noProof/>
          <w:lang w:eastAsia="es-CO"/>
        </w:rPr>
      </w:pP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688144FA" w14:textId="77777777" w:rsidR="00ED6B92" w:rsidRDefault="00ED6B92" w:rsidP="00ED6B92">
      <w:pPr>
        <w:rPr>
          <w:noProof/>
          <w:lang w:val="en-US"/>
        </w:rPr>
      </w:pPr>
      <w:r w:rsidRPr="009E78BB">
        <w:rPr>
          <w:noProof/>
          <w:lang w:val="en-US"/>
        </w:rPr>
        <w:t>[1] J. Chan</w:t>
      </w:r>
      <w:r>
        <w:rPr>
          <w:noProof/>
          <w:lang w:val="en-US"/>
        </w:rPr>
        <w:t>.</w:t>
      </w:r>
      <w:r w:rsidRPr="009E78BB">
        <w:rPr>
          <w:noProof/>
          <w:lang w:val="en-US"/>
        </w:rPr>
        <w:t xml:space="preserve"> “Updating the EPRI transmission line reference book: Wind-induced conductor motion (‘The Orange Book’)</w:t>
      </w:r>
      <w:r>
        <w:rPr>
          <w:noProof/>
          <w:lang w:val="en-US"/>
        </w:rPr>
        <w:t>”.</w:t>
      </w:r>
      <w:r w:rsidRPr="009E78BB">
        <w:rPr>
          <w:noProof/>
          <w:lang w:val="en-US"/>
        </w:rPr>
        <w:t xml:space="preserve"> Epri, vol. 3, no. 3, 2005.</w:t>
      </w:r>
    </w:p>
    <w:p w14:paraId="42402601" w14:textId="77777777" w:rsidR="00ED6B92" w:rsidRPr="009E78BB" w:rsidRDefault="00ED6B92" w:rsidP="00ED6B92">
      <w:pPr>
        <w:rPr>
          <w:noProof/>
          <w:lang w:val="en-US"/>
        </w:rPr>
      </w:pPr>
    </w:p>
    <w:p w14:paraId="31FEBF84" w14:textId="77777777" w:rsidR="00ED6B92" w:rsidRPr="009E78BB" w:rsidRDefault="00ED6B92" w:rsidP="00ED6B92">
      <w:pPr>
        <w:rPr>
          <w:i/>
          <w:noProof/>
          <w:lang w:val="en-US"/>
        </w:rPr>
      </w:pPr>
      <w:r w:rsidRPr="009E78BB">
        <w:rPr>
          <w:noProof/>
          <w:lang w:val="en-US"/>
        </w:rPr>
        <w:t>[2] P. Hagedorn</w:t>
      </w:r>
      <w:r>
        <w:rPr>
          <w:noProof/>
          <w:lang w:val="en-US"/>
        </w:rPr>
        <w:t>.</w:t>
      </w:r>
      <w:r w:rsidRPr="009E78BB">
        <w:rPr>
          <w:noProof/>
          <w:lang w:val="en-US"/>
        </w:rPr>
        <w:t xml:space="preserve"> “On the Computation of Damped Wind-Excited Vibrations of Overhead Transmissions Lines”</w:t>
      </w:r>
      <w:r>
        <w:rPr>
          <w:noProof/>
          <w:lang w:val="en-US"/>
        </w:rPr>
        <w:t>.</w:t>
      </w:r>
      <w:r w:rsidRPr="009E78BB">
        <w:rPr>
          <w:noProof/>
          <w:lang w:val="en-US"/>
        </w:rPr>
        <w:t xml:space="preserve"> Journal of Sound and Vibration</w:t>
      </w:r>
      <w:r>
        <w:rPr>
          <w:noProof/>
          <w:lang w:val="en-US"/>
        </w:rPr>
        <w:t>, v</w:t>
      </w:r>
      <w:r w:rsidRPr="009E78BB">
        <w:rPr>
          <w:noProof/>
          <w:lang w:val="en-US"/>
        </w:rPr>
        <w:t>ol. 83, pp. 253–271, 1982.</w:t>
      </w:r>
    </w:p>
    <w:p w14:paraId="15060BEA" w14:textId="77777777" w:rsidR="00ED6B92" w:rsidRPr="009E78BB" w:rsidRDefault="00ED6B92" w:rsidP="00ED6B92">
      <w:pPr>
        <w:rPr>
          <w:noProof/>
          <w:lang w:val="en-US"/>
        </w:rPr>
      </w:pPr>
    </w:p>
    <w:p w14:paraId="2403C522" w14:textId="77777777" w:rsidR="00ED6B92" w:rsidRDefault="00ED6B92" w:rsidP="00ED6B92">
      <w:pPr>
        <w:rPr>
          <w:noProof/>
          <w:lang w:val="en-US"/>
        </w:rPr>
      </w:pPr>
      <w:r w:rsidRPr="00CE3B2C">
        <w:rPr>
          <w:noProof/>
          <w:lang w:val="en-US"/>
        </w:rPr>
        <w:t>[3] Z. Wang, H. N. Li, and G. Song</w:t>
      </w:r>
      <w:r>
        <w:rPr>
          <w:noProof/>
          <w:lang w:val="en-US"/>
        </w:rPr>
        <w:t>.</w:t>
      </w:r>
      <w:r w:rsidRPr="00CE3B2C">
        <w:rPr>
          <w:noProof/>
          <w:lang w:val="en-US"/>
        </w:rPr>
        <w:t xml:space="preserve"> “Aeolian Vibration Control of Power Transmission Line Using Stockbridge Type Dampers - A Review”</w:t>
      </w:r>
      <w:r>
        <w:rPr>
          <w:noProof/>
          <w:lang w:val="en-US"/>
        </w:rPr>
        <w:t>.</w:t>
      </w:r>
      <w:r w:rsidRPr="00CE3B2C">
        <w:rPr>
          <w:noProof/>
          <w:lang w:val="en-US"/>
        </w:rPr>
        <w:t xml:space="preserve"> International Journal of Structural Stability and Dynamics, vol. 21, no. 1, pp. 1–29, 2021</w:t>
      </w:r>
      <w:r>
        <w:rPr>
          <w:noProof/>
          <w:lang w:val="en-US"/>
        </w:rPr>
        <w:t>.</w:t>
      </w:r>
    </w:p>
    <w:p w14:paraId="3FAE7AE0" w14:textId="77777777" w:rsidR="00ED6B92" w:rsidRPr="00CE3B2C" w:rsidRDefault="00ED6B92" w:rsidP="00ED6B92">
      <w:pPr>
        <w:rPr>
          <w:noProof/>
          <w:lang w:val="en-US"/>
        </w:rPr>
      </w:pPr>
      <w:r w:rsidRPr="00CE3B2C">
        <w:rPr>
          <w:noProof/>
          <w:lang w:val="en-US"/>
        </w:rPr>
        <w:t xml:space="preserve"> </w:t>
      </w:r>
    </w:p>
    <w:p w14:paraId="23ACAED4" w14:textId="77777777" w:rsidR="00ED6B92" w:rsidRPr="00A031B1" w:rsidRDefault="00ED6B92" w:rsidP="00ED6B92">
      <w:pPr>
        <w:rPr>
          <w:noProof/>
          <w:lang w:val="en-US"/>
        </w:rPr>
      </w:pPr>
      <w:r w:rsidRPr="00A031B1">
        <w:rPr>
          <w:noProof/>
          <w:lang w:val="en-US"/>
        </w:rPr>
        <w:t xml:space="preserve">[4] </w:t>
      </w:r>
      <w:r>
        <w:rPr>
          <w:noProof/>
          <w:lang w:val="en-US"/>
        </w:rPr>
        <w:t xml:space="preserve">O.R. </w:t>
      </w:r>
      <w:r w:rsidRPr="00A031B1">
        <w:rPr>
          <w:noProof/>
          <w:lang w:val="en-US"/>
        </w:rPr>
        <w:t>Barry. “Vibration Modeling and Analysis of a Single Conductor With Stockbridge Dampers”</w:t>
      </w:r>
      <w:r>
        <w:rPr>
          <w:noProof/>
          <w:lang w:val="en-US"/>
        </w:rPr>
        <w:t xml:space="preserve">. </w:t>
      </w:r>
      <w:r w:rsidRPr="00A031B1">
        <w:rPr>
          <w:noProof/>
          <w:lang w:val="en-US"/>
        </w:rPr>
        <w:t>University of Toronto</w:t>
      </w:r>
      <w:r>
        <w:rPr>
          <w:noProof/>
          <w:lang w:val="en-US"/>
        </w:rPr>
        <w:t xml:space="preserve">, </w:t>
      </w:r>
      <w:r w:rsidRPr="00A031B1">
        <w:rPr>
          <w:noProof/>
          <w:lang w:val="en-US"/>
        </w:rPr>
        <w:t>2014.</w:t>
      </w:r>
    </w:p>
    <w:p w14:paraId="32BBD17C" w14:textId="77777777" w:rsidR="00ED6B92" w:rsidRPr="00A031B1" w:rsidRDefault="00ED6B92" w:rsidP="00ED6B92">
      <w:pPr>
        <w:rPr>
          <w:noProof/>
          <w:lang w:val="en-US"/>
        </w:rPr>
      </w:pPr>
    </w:p>
    <w:p w14:paraId="6A604D0C" w14:textId="77777777" w:rsidR="00ED6B92" w:rsidRDefault="00ED6B92" w:rsidP="00ED6B92">
      <w:pPr>
        <w:rPr>
          <w:noProof/>
          <w:lang w:val="en-US"/>
        </w:rPr>
      </w:pPr>
      <w:r w:rsidRPr="00A031B1">
        <w:rPr>
          <w:noProof/>
          <w:lang w:val="en-US"/>
        </w:rPr>
        <w:t xml:space="preserve">[5] </w:t>
      </w:r>
      <w:r>
        <w:rPr>
          <w:noProof/>
          <w:lang w:val="en-US"/>
        </w:rPr>
        <w:t>O</w:t>
      </w:r>
      <w:r w:rsidRPr="00A031B1">
        <w:rPr>
          <w:noProof/>
          <w:lang w:val="en-US"/>
        </w:rPr>
        <w:t>.</w:t>
      </w:r>
      <w:r>
        <w:rPr>
          <w:noProof/>
          <w:lang w:val="en-US"/>
        </w:rPr>
        <w:t xml:space="preserve"> R.</w:t>
      </w:r>
      <w:r w:rsidRPr="00A031B1">
        <w:rPr>
          <w:noProof/>
          <w:lang w:val="en-US"/>
        </w:rPr>
        <w:t xml:space="preserve"> Barry, J. W. Zu, and D. C. D. Oguamanam</w:t>
      </w:r>
      <w:r>
        <w:rPr>
          <w:noProof/>
          <w:lang w:val="en-US"/>
        </w:rPr>
        <w:t xml:space="preserve">. </w:t>
      </w:r>
      <w:r w:rsidRPr="00A031B1">
        <w:rPr>
          <w:noProof/>
          <w:lang w:val="en-US"/>
        </w:rPr>
        <w:t>“Nonlinear Dynamics of Stockbridge Dampers”</w:t>
      </w:r>
      <w:r>
        <w:rPr>
          <w:noProof/>
          <w:lang w:val="en-US"/>
        </w:rPr>
        <w:t>.</w:t>
      </w:r>
      <w:r w:rsidRPr="00A031B1">
        <w:rPr>
          <w:noProof/>
          <w:lang w:val="en-US"/>
        </w:rPr>
        <w:t xml:space="preserve"> Journal of Dynamic Systems, Measurement and Control, Transactions of the ASME, vol. 137, no. 6, pp. 1–7, 2015.</w:t>
      </w:r>
    </w:p>
    <w:p w14:paraId="0B78BEBF" w14:textId="77777777" w:rsidR="00ED6B92" w:rsidRPr="00A031B1" w:rsidRDefault="00ED6B92" w:rsidP="00ED6B92">
      <w:pPr>
        <w:rPr>
          <w:noProof/>
          <w:lang w:val="en-US"/>
        </w:rPr>
      </w:pPr>
    </w:p>
    <w:p w14:paraId="323A62C1" w14:textId="77777777" w:rsidR="00ED6B92" w:rsidRPr="001A0190" w:rsidRDefault="00ED6B92" w:rsidP="00ED6B92">
      <w:pPr>
        <w:rPr>
          <w:noProof/>
          <w:lang w:val="en-US"/>
        </w:rPr>
      </w:pPr>
      <w:r w:rsidRPr="00B628A1">
        <w:rPr>
          <w:noProof/>
          <w:lang w:val="en-US"/>
        </w:rPr>
        <w:t>[6] O.</w:t>
      </w:r>
      <w:r>
        <w:rPr>
          <w:noProof/>
          <w:lang w:val="en-US"/>
        </w:rPr>
        <w:t xml:space="preserve"> R.</w:t>
      </w:r>
      <w:r w:rsidRPr="00B628A1">
        <w:rPr>
          <w:noProof/>
          <w:lang w:val="en-US"/>
        </w:rPr>
        <w:t xml:space="preserve"> Barry, R. Long, and D. C. D. Oguamanam</w:t>
      </w:r>
      <w:r>
        <w:rPr>
          <w:noProof/>
          <w:lang w:val="en-US"/>
        </w:rPr>
        <w:t>.</w:t>
      </w:r>
      <w:r w:rsidRPr="00B628A1">
        <w:rPr>
          <w:noProof/>
          <w:lang w:val="en-US"/>
        </w:rPr>
        <w:t xml:space="preserve"> “Simplified Vibration Model and analysis of a single-conductor transmission line with dampers”</w:t>
      </w:r>
      <w:r>
        <w:rPr>
          <w:noProof/>
          <w:lang w:val="en-US"/>
        </w:rPr>
        <w:t>.</w:t>
      </w:r>
      <w:r w:rsidRPr="00B628A1">
        <w:rPr>
          <w:noProof/>
          <w:lang w:val="en-US"/>
        </w:rPr>
        <w:t xml:space="preserve"> Proceedings of the Institution of Mechanical Engineers, Part C: Journal of Mechanical Engineering Science, vol. 231, no. 22, pp. 4150–4162, 2017</w:t>
      </w:r>
      <w:r>
        <w:rPr>
          <w:noProof/>
          <w:lang w:val="en-US"/>
        </w:rPr>
        <w:t>.</w:t>
      </w:r>
      <w:r w:rsidRPr="00B628A1">
        <w:rPr>
          <w:noProof/>
          <w:lang w:val="en-US"/>
        </w:rPr>
        <w:t xml:space="preserve"> </w:t>
      </w:r>
    </w:p>
    <w:p w14:paraId="04EB56E4" w14:textId="77777777" w:rsidR="00ED6B92" w:rsidRPr="001A0190" w:rsidRDefault="00ED6B92" w:rsidP="00ED6B92">
      <w:pPr>
        <w:rPr>
          <w:noProof/>
          <w:lang w:val="en-US"/>
        </w:rPr>
      </w:pPr>
    </w:p>
    <w:p w14:paraId="537114F6" w14:textId="77777777" w:rsidR="00ED6B92" w:rsidRPr="003C3CE7" w:rsidRDefault="00ED6B92" w:rsidP="00ED6B92">
      <w:pPr>
        <w:rPr>
          <w:noProof/>
          <w:lang w:val="en-US"/>
        </w:rPr>
      </w:pPr>
      <w:r w:rsidRPr="003C3CE7">
        <w:rPr>
          <w:noProof/>
          <w:lang w:val="en-US"/>
        </w:rPr>
        <w:t>[7] D. Sauter and P. Hagedorn</w:t>
      </w:r>
      <w:r>
        <w:rPr>
          <w:noProof/>
          <w:lang w:val="en-US"/>
        </w:rPr>
        <w:t>.</w:t>
      </w:r>
      <w:r w:rsidRPr="003C3CE7">
        <w:rPr>
          <w:noProof/>
          <w:lang w:val="en-US"/>
        </w:rPr>
        <w:t xml:space="preserve"> “On the hysteresis of wire cables in Stockbridge dampers”</w:t>
      </w:r>
      <w:r>
        <w:rPr>
          <w:noProof/>
          <w:lang w:val="en-US"/>
        </w:rPr>
        <w:t>.</w:t>
      </w:r>
      <w:r w:rsidRPr="003C3CE7">
        <w:rPr>
          <w:noProof/>
          <w:lang w:val="en-US"/>
        </w:rPr>
        <w:t xml:space="preserve"> International Journal of Non-Linear Mechanics, vol. 37, pp. 1453–1459, 2002</w:t>
      </w:r>
      <w:r>
        <w:rPr>
          <w:noProof/>
          <w:lang w:val="en-US"/>
        </w:rPr>
        <w:t>.</w:t>
      </w:r>
    </w:p>
    <w:p w14:paraId="343DFAAF" w14:textId="77777777" w:rsidR="00ED6B92" w:rsidRPr="003C3CE7" w:rsidRDefault="00ED6B92" w:rsidP="00ED6B92">
      <w:pPr>
        <w:rPr>
          <w:noProof/>
          <w:lang w:val="en-US"/>
        </w:rPr>
      </w:pPr>
    </w:p>
    <w:p w14:paraId="48C6D2D5" w14:textId="77777777" w:rsidR="00ED6B92" w:rsidRDefault="00ED6B92" w:rsidP="00ED6B92">
      <w:pPr>
        <w:rPr>
          <w:noProof/>
          <w:lang w:val="en-US"/>
        </w:rPr>
      </w:pPr>
      <w:r w:rsidRPr="003C3CE7">
        <w:rPr>
          <w:noProof/>
          <w:lang w:val="en-US"/>
        </w:rPr>
        <w:t>[8] S. Langlois and F. Legeron</w:t>
      </w:r>
      <w:r>
        <w:rPr>
          <w:noProof/>
          <w:lang w:val="en-US"/>
        </w:rPr>
        <w:t>.</w:t>
      </w:r>
      <w:r w:rsidRPr="003C3CE7">
        <w:rPr>
          <w:noProof/>
          <w:lang w:val="en-US"/>
        </w:rPr>
        <w:t xml:space="preserve"> “Prediction of aeolian vibration on transmission-line conductors using a nonlinear time history model - Part I: Damper model”</w:t>
      </w:r>
      <w:r>
        <w:rPr>
          <w:noProof/>
          <w:lang w:val="en-US"/>
        </w:rPr>
        <w:t>.</w:t>
      </w:r>
      <w:r w:rsidRPr="003C3CE7">
        <w:rPr>
          <w:noProof/>
          <w:lang w:val="en-US"/>
        </w:rPr>
        <w:t xml:space="preserve"> IEEE Transactions on Power Delivery, vol. 29, no. 3, pp. 1168–1175, 2014</w:t>
      </w:r>
      <w:r>
        <w:rPr>
          <w:noProof/>
          <w:lang w:val="en-US"/>
        </w:rPr>
        <w:t>.</w:t>
      </w:r>
    </w:p>
    <w:p w14:paraId="0E930541" w14:textId="77777777" w:rsidR="00ED6B92" w:rsidRDefault="00ED6B92" w:rsidP="00ED6B92">
      <w:pPr>
        <w:rPr>
          <w:noProof/>
          <w:lang w:val="en-US"/>
        </w:rPr>
      </w:pPr>
    </w:p>
    <w:p w14:paraId="393D5A37" w14:textId="77777777" w:rsidR="00ED6B92" w:rsidRDefault="00ED6B92" w:rsidP="00ED6B92">
      <w:pPr>
        <w:rPr>
          <w:noProof/>
          <w:lang w:val="en-US"/>
        </w:rPr>
      </w:pPr>
      <w:r w:rsidRPr="001A0190">
        <w:rPr>
          <w:noProof/>
          <w:lang w:val="en-US"/>
        </w:rPr>
        <w:t xml:space="preserve">[9] N. Barbieri, R. Barbieri, R. A. da Silva, M. J. Mannala, and L. de S. V. Barbieri. </w:t>
      </w:r>
      <w:r w:rsidRPr="003C3CE7">
        <w:rPr>
          <w:noProof/>
          <w:lang w:val="en-US"/>
        </w:rPr>
        <w:t>“Nonlinear dynamic analysis of wire-rope isolator and Stockbridge damper”</w:t>
      </w:r>
      <w:r>
        <w:rPr>
          <w:noProof/>
          <w:lang w:val="en-US"/>
        </w:rPr>
        <w:t>.</w:t>
      </w:r>
      <w:r w:rsidRPr="003C3CE7">
        <w:rPr>
          <w:noProof/>
          <w:lang w:val="en-US"/>
        </w:rPr>
        <w:t xml:space="preserve"> Nonlinear Dynamics, vol. 86, no. 1, pp. 501–512, 2016.</w:t>
      </w:r>
    </w:p>
    <w:p w14:paraId="01BAD463" w14:textId="77777777" w:rsidR="00ED6B92" w:rsidRDefault="00ED6B92" w:rsidP="00ED6B92">
      <w:pPr>
        <w:rPr>
          <w:noProof/>
          <w:lang w:val="en-US"/>
        </w:rPr>
      </w:pPr>
    </w:p>
    <w:p w14:paraId="77729CB9" w14:textId="77777777" w:rsidR="00ED6B92" w:rsidRDefault="00ED6B92" w:rsidP="00ED6B92">
      <w:pPr>
        <w:rPr>
          <w:noProof/>
          <w:lang w:val="en-US"/>
        </w:rPr>
      </w:pPr>
      <w:r w:rsidRPr="00323F6B">
        <w:rPr>
          <w:noProof/>
          <w:lang w:val="en-US"/>
        </w:rPr>
        <w:t>[10] International Electrotechnical Commission. IEC 61897</w:t>
      </w:r>
      <w:r>
        <w:rPr>
          <w:noProof/>
          <w:lang w:val="en-US"/>
        </w:rPr>
        <w:t xml:space="preserve">: </w:t>
      </w:r>
      <w:r w:rsidRPr="00323F6B">
        <w:rPr>
          <w:noProof/>
          <w:lang w:val="en-US"/>
        </w:rPr>
        <w:t>Overhead lines - Requirements and tests for Aeolian vibration</w:t>
      </w:r>
      <w:r>
        <w:rPr>
          <w:noProof/>
          <w:lang w:val="en-US"/>
        </w:rPr>
        <w:t>. IEC</w:t>
      </w:r>
      <w:r w:rsidRPr="003C3CE7">
        <w:rPr>
          <w:noProof/>
          <w:lang w:val="en-US"/>
        </w:rPr>
        <w:t>, 2</w:t>
      </w:r>
      <w:r>
        <w:rPr>
          <w:noProof/>
          <w:lang w:val="en-US"/>
        </w:rPr>
        <w:t>020</w:t>
      </w:r>
      <w:r w:rsidRPr="003C3CE7">
        <w:rPr>
          <w:noProof/>
          <w:lang w:val="en-US"/>
        </w:rPr>
        <w:t>.</w:t>
      </w:r>
    </w:p>
    <w:p w14:paraId="02F35F59" w14:textId="77777777" w:rsidR="00ED6B92" w:rsidRDefault="00ED6B92" w:rsidP="00ED6B92">
      <w:pPr>
        <w:rPr>
          <w:noProof/>
          <w:lang w:val="en-US"/>
        </w:rPr>
      </w:pPr>
    </w:p>
    <w:p w14:paraId="4D9D8038" w14:textId="77777777" w:rsidR="00ED6B92" w:rsidRDefault="00ED6B92" w:rsidP="00ED6B92">
      <w:pPr>
        <w:jc w:val="left"/>
        <w:rPr>
          <w:noProof/>
          <w:lang w:val="en-US"/>
        </w:rPr>
      </w:pPr>
      <w:r w:rsidRPr="001A0190">
        <w:rPr>
          <w:noProof/>
          <w:lang w:val="en-US"/>
        </w:rPr>
        <w:t xml:space="preserve">[11] </w:t>
      </w:r>
      <w:hyperlink r:id="rId21" w:history="1">
        <w:r w:rsidRPr="001A0190">
          <w:rPr>
            <w:rStyle w:val="Hipervnculo"/>
            <w:noProof/>
            <w:lang w:val="en-US"/>
          </w:rPr>
          <w:t>https://www.hbm.com/</w:t>
        </w:r>
      </w:hyperlink>
    </w:p>
    <w:p w14:paraId="2E4CC89A" w14:textId="77777777" w:rsidR="00ED6B92" w:rsidRPr="001A0190" w:rsidRDefault="00ED6B92" w:rsidP="00ED6B92">
      <w:pPr>
        <w:jc w:val="left"/>
        <w:rPr>
          <w:noProof/>
          <w:lang w:val="en-US"/>
        </w:rPr>
      </w:pPr>
    </w:p>
    <w:p w14:paraId="52B887C6" w14:textId="77777777" w:rsidR="00ED6B92" w:rsidRDefault="00ED6B92" w:rsidP="00ED6B92">
      <w:pPr>
        <w:rPr>
          <w:noProof/>
          <w:lang w:val="en-US"/>
        </w:rPr>
      </w:pPr>
      <w:r w:rsidRPr="001A0190">
        <w:rPr>
          <w:noProof/>
          <w:lang w:val="en-US"/>
        </w:rPr>
        <w:lastRenderedPageBreak/>
        <w:t xml:space="preserve">[12] K. O. Papailiou. </w:t>
      </w:r>
      <w:r w:rsidRPr="00323F6B">
        <w:rPr>
          <w:noProof/>
          <w:lang w:val="en-US"/>
        </w:rPr>
        <w:t>“On the bending stiffness of transmission line conductors”</w:t>
      </w:r>
      <w:r>
        <w:rPr>
          <w:noProof/>
          <w:lang w:val="en-US"/>
        </w:rPr>
        <w:t>.</w:t>
      </w:r>
      <w:r w:rsidRPr="00323F6B">
        <w:rPr>
          <w:noProof/>
          <w:lang w:val="en-US"/>
        </w:rPr>
        <w:t xml:space="preserve"> IEEE Transactions on Power Delivery, vol. 12, no. 4, pp. 1576–1583, 1997</w:t>
      </w:r>
      <w:r>
        <w:rPr>
          <w:noProof/>
          <w:lang w:val="en-US"/>
        </w:rPr>
        <w:t>.</w:t>
      </w:r>
    </w:p>
    <w:p w14:paraId="0C3D89E1" w14:textId="77777777" w:rsidR="00ED6B92" w:rsidRDefault="00ED6B92" w:rsidP="00ED6B92">
      <w:pPr>
        <w:rPr>
          <w:noProof/>
          <w:lang w:val="en-US"/>
        </w:rPr>
      </w:pPr>
    </w:p>
    <w:p w14:paraId="2FDF3323" w14:textId="77777777" w:rsidR="00ED6B92" w:rsidRDefault="00ED6B92" w:rsidP="00ED6B92">
      <w:pPr>
        <w:rPr>
          <w:noProof/>
          <w:lang w:val="en-US"/>
        </w:rPr>
      </w:pPr>
      <w:r w:rsidRPr="005F1CD7">
        <w:rPr>
          <w:noProof/>
          <w:lang w:val="en-US"/>
        </w:rPr>
        <w:t>[1</w:t>
      </w:r>
      <w:r>
        <w:rPr>
          <w:noProof/>
          <w:lang w:val="en-US"/>
        </w:rPr>
        <w:t>3</w:t>
      </w:r>
      <w:r w:rsidRPr="005F1CD7">
        <w:rPr>
          <w:noProof/>
          <w:lang w:val="en-US"/>
        </w:rPr>
        <w:t>] Électricité de France</w:t>
      </w:r>
      <w:r>
        <w:rPr>
          <w:noProof/>
          <w:lang w:val="en-US"/>
        </w:rPr>
        <w:t>.</w:t>
      </w:r>
      <w:r w:rsidRPr="005F1CD7">
        <w:rPr>
          <w:noProof/>
          <w:lang w:val="en-US"/>
        </w:rPr>
        <w:t xml:space="preserve"> “Finite element code_aster, Analysis of Structures and Thermomechanics for Studies and Research”</w:t>
      </w:r>
      <w:r>
        <w:rPr>
          <w:noProof/>
          <w:lang w:val="en-US"/>
        </w:rPr>
        <w:t>.</w:t>
      </w:r>
      <w:r w:rsidRPr="005F1CD7">
        <w:rPr>
          <w:noProof/>
          <w:lang w:val="en-US"/>
        </w:rPr>
        <w:t xml:space="preserve"> Open source on www.code-aster.org, 2022. </w:t>
      </w:r>
    </w:p>
    <w:p w14:paraId="20B99A9C" w14:textId="77777777" w:rsidR="00ED6B92" w:rsidRDefault="00ED6B92" w:rsidP="00ED6B92">
      <w:pPr>
        <w:rPr>
          <w:noProof/>
          <w:lang w:val="en-US"/>
        </w:rPr>
      </w:pPr>
    </w:p>
    <w:p w14:paraId="0B6D24CC" w14:textId="77777777" w:rsidR="00ED6B92" w:rsidRDefault="00ED6B92" w:rsidP="00ED6B92">
      <w:pPr>
        <w:rPr>
          <w:noProof/>
          <w:lang w:val="en-US"/>
        </w:rPr>
      </w:pPr>
      <w:r w:rsidRPr="005F1CD7">
        <w:rPr>
          <w:noProof/>
          <w:lang w:val="en-US"/>
        </w:rPr>
        <w:t>[1</w:t>
      </w:r>
      <w:r>
        <w:rPr>
          <w:noProof/>
          <w:lang w:val="en-US"/>
        </w:rPr>
        <w:t>4</w:t>
      </w:r>
      <w:r w:rsidRPr="005F1CD7">
        <w:rPr>
          <w:noProof/>
          <w:lang w:val="en-US"/>
        </w:rPr>
        <w:t>] N. M. Newmark</w:t>
      </w:r>
      <w:r>
        <w:rPr>
          <w:noProof/>
          <w:lang w:val="en-US"/>
        </w:rPr>
        <w:t>.</w:t>
      </w:r>
      <w:r w:rsidRPr="005F1CD7">
        <w:rPr>
          <w:noProof/>
          <w:lang w:val="en-US"/>
        </w:rPr>
        <w:t xml:space="preserve"> “A Method of Computation for Structural Dynamics”</w:t>
      </w:r>
      <w:r>
        <w:rPr>
          <w:noProof/>
          <w:lang w:val="en-US"/>
        </w:rPr>
        <w:t>.</w:t>
      </w:r>
      <w:r w:rsidRPr="005F1CD7">
        <w:rPr>
          <w:noProof/>
          <w:lang w:val="en-US"/>
        </w:rPr>
        <w:t xml:space="preserve"> Journal of the Engineering Mechanics Division, vol. 85, no. 3, pp. 67–94,  1959</w:t>
      </w:r>
      <w:r>
        <w:rPr>
          <w:noProof/>
          <w:lang w:val="en-US"/>
        </w:rPr>
        <w:t>.</w:t>
      </w:r>
    </w:p>
    <w:p w14:paraId="75295C94" w14:textId="77777777" w:rsidR="00ED6B92" w:rsidRDefault="00ED6B92" w:rsidP="00ED6B92">
      <w:pPr>
        <w:rPr>
          <w:noProof/>
          <w:lang w:val="en-US"/>
        </w:rPr>
      </w:pPr>
    </w:p>
    <w:p w14:paraId="4ED19BFE" w14:textId="77777777" w:rsidR="00ED6B92" w:rsidRDefault="00ED6B92" w:rsidP="00ED6B92">
      <w:pPr>
        <w:rPr>
          <w:noProof/>
          <w:lang w:val="en-US"/>
        </w:rPr>
      </w:pPr>
      <w:bookmarkStart w:id="6" w:name="_Hlk112498169"/>
      <w:r w:rsidRPr="005F1CD7">
        <w:rPr>
          <w:noProof/>
          <w:lang w:val="en-US"/>
        </w:rPr>
        <w:t>[1</w:t>
      </w:r>
      <w:r>
        <w:rPr>
          <w:noProof/>
          <w:lang w:val="en-US"/>
        </w:rPr>
        <w:t>5</w:t>
      </w:r>
      <w:r w:rsidRPr="005F1CD7">
        <w:rPr>
          <w:noProof/>
          <w:lang w:val="en-US"/>
        </w:rPr>
        <w:t xml:space="preserve">] </w:t>
      </w:r>
      <w:r w:rsidRPr="00D05E47">
        <w:rPr>
          <w:noProof/>
          <w:lang w:val="en-US"/>
        </w:rPr>
        <w:t>R. Aster, B. Borchers, and C. Thurber</w:t>
      </w:r>
      <w:r>
        <w:rPr>
          <w:noProof/>
          <w:lang w:val="en-US"/>
        </w:rPr>
        <w:t>. “</w:t>
      </w:r>
      <w:r w:rsidRPr="00D05E47">
        <w:rPr>
          <w:noProof/>
          <w:lang w:val="en-US"/>
        </w:rPr>
        <w:t>Parameter Estimation and Inverse</w:t>
      </w:r>
      <w:r>
        <w:rPr>
          <w:noProof/>
          <w:lang w:val="en-US"/>
        </w:rPr>
        <w:t xml:space="preserve"> </w:t>
      </w:r>
      <w:r w:rsidRPr="00D05E47">
        <w:rPr>
          <w:noProof/>
          <w:lang w:val="en-US"/>
        </w:rPr>
        <w:t>Problems</w:t>
      </w:r>
      <w:r>
        <w:rPr>
          <w:noProof/>
          <w:lang w:val="en-US"/>
        </w:rPr>
        <w:t>”</w:t>
      </w:r>
      <w:r w:rsidRPr="00D05E47">
        <w:rPr>
          <w:noProof/>
          <w:lang w:val="en-US"/>
        </w:rPr>
        <w:t>. Elsevier, 2019.</w:t>
      </w:r>
    </w:p>
    <w:bookmarkEnd w:id="6"/>
    <w:p w14:paraId="5A5A2D46" w14:textId="77777777" w:rsidR="00ED6B92" w:rsidRDefault="00ED6B92" w:rsidP="00ED6B92">
      <w:pPr>
        <w:rPr>
          <w:noProof/>
          <w:lang w:val="en-US"/>
        </w:rPr>
      </w:pPr>
      <w:r w:rsidRPr="005F1CD7">
        <w:rPr>
          <w:noProof/>
          <w:lang w:val="en-US"/>
        </w:rPr>
        <w:t xml:space="preserve"> </w:t>
      </w:r>
    </w:p>
    <w:p w14:paraId="5087B3A4" w14:textId="77777777" w:rsidR="00ED6B92" w:rsidRDefault="00ED6B92" w:rsidP="00ED6B92">
      <w:pPr>
        <w:rPr>
          <w:noProof/>
          <w:lang w:val="en-US"/>
        </w:rPr>
      </w:pPr>
      <w:r w:rsidRPr="005F1CD7">
        <w:rPr>
          <w:noProof/>
          <w:lang w:val="en-US"/>
        </w:rPr>
        <w:t>[1</w:t>
      </w:r>
      <w:r>
        <w:rPr>
          <w:noProof/>
          <w:lang w:val="en-US"/>
        </w:rPr>
        <w:t>6</w:t>
      </w:r>
      <w:r w:rsidRPr="005F1CD7">
        <w:rPr>
          <w:noProof/>
          <w:lang w:val="en-US"/>
        </w:rPr>
        <w:t>]</w:t>
      </w:r>
      <w:r>
        <w:rPr>
          <w:noProof/>
          <w:lang w:val="en-US"/>
        </w:rPr>
        <w:t xml:space="preserve"> </w:t>
      </w:r>
      <w:r w:rsidRPr="0035200B">
        <w:rPr>
          <w:noProof/>
          <w:lang w:val="en-US"/>
        </w:rPr>
        <w:t>S. Marelli and B. Sudret</w:t>
      </w:r>
      <w:r>
        <w:rPr>
          <w:noProof/>
          <w:lang w:val="en-US"/>
        </w:rPr>
        <w:t>. “UQLAB</w:t>
      </w:r>
      <w:r w:rsidRPr="0035200B">
        <w:rPr>
          <w:noProof/>
          <w:lang w:val="en-US"/>
        </w:rPr>
        <w:t>: a framework for uncertainty quantification</w:t>
      </w:r>
      <w:r>
        <w:rPr>
          <w:noProof/>
          <w:lang w:val="en-US"/>
        </w:rPr>
        <w:t xml:space="preserve"> </w:t>
      </w:r>
      <w:r w:rsidRPr="0035200B">
        <w:rPr>
          <w:noProof/>
          <w:lang w:val="en-US"/>
        </w:rPr>
        <w:t>in matlab”</w:t>
      </w:r>
      <w:r>
        <w:rPr>
          <w:noProof/>
          <w:lang w:val="en-US"/>
        </w:rPr>
        <w:t>.</w:t>
      </w:r>
      <w:r w:rsidRPr="0035200B">
        <w:rPr>
          <w:noProof/>
          <w:lang w:val="en-US"/>
        </w:rPr>
        <w:t xml:space="preserve"> in Proc. 2nd Int. Conf. on Vulnerability, Risk Analysis</w:t>
      </w:r>
      <w:r>
        <w:rPr>
          <w:noProof/>
          <w:lang w:val="en-US"/>
        </w:rPr>
        <w:t xml:space="preserve"> </w:t>
      </w:r>
      <w:r w:rsidRPr="0035200B">
        <w:rPr>
          <w:noProof/>
          <w:lang w:val="en-US"/>
        </w:rPr>
        <w:t>and Management (ICVRAM2014), Liverpool, United Kingdom, 2014.</w:t>
      </w:r>
    </w:p>
    <w:p w14:paraId="010372EC" w14:textId="77777777" w:rsidR="00ED6B92" w:rsidRDefault="00ED6B92" w:rsidP="00ED6B92">
      <w:pPr>
        <w:rPr>
          <w:noProof/>
          <w:lang w:val="en-US"/>
        </w:rPr>
      </w:pPr>
    </w:p>
    <w:p w14:paraId="7C5C8120" w14:textId="77777777" w:rsidR="00ED6B92" w:rsidRDefault="00ED6B92" w:rsidP="00ED6B92">
      <w:pPr>
        <w:rPr>
          <w:noProof/>
          <w:lang w:val="en-US"/>
        </w:rPr>
      </w:pPr>
      <w:r w:rsidRPr="0035200B">
        <w:rPr>
          <w:noProof/>
          <w:lang w:val="en-US"/>
        </w:rPr>
        <w:t>[1</w:t>
      </w:r>
      <w:r>
        <w:rPr>
          <w:noProof/>
          <w:lang w:val="en-US"/>
        </w:rPr>
        <w:t>7</w:t>
      </w:r>
      <w:r w:rsidRPr="0035200B">
        <w:rPr>
          <w:noProof/>
          <w:lang w:val="en-US"/>
        </w:rPr>
        <w:t>]</w:t>
      </w:r>
      <w:r>
        <w:rPr>
          <w:noProof/>
          <w:lang w:val="en-US"/>
        </w:rPr>
        <w:t xml:space="preserve"> M. R.</w:t>
      </w:r>
      <w:r w:rsidRPr="0035200B">
        <w:rPr>
          <w:noProof/>
          <w:lang w:val="en-US"/>
        </w:rPr>
        <w:t xml:space="preserve"> Kianifar</w:t>
      </w:r>
      <w:r>
        <w:rPr>
          <w:noProof/>
          <w:lang w:val="en-US"/>
        </w:rPr>
        <w:t xml:space="preserve"> and F. </w:t>
      </w:r>
      <w:r w:rsidRPr="0035200B">
        <w:rPr>
          <w:noProof/>
          <w:lang w:val="en-US"/>
        </w:rPr>
        <w:t xml:space="preserve">Campean. </w:t>
      </w:r>
      <w:r>
        <w:rPr>
          <w:noProof/>
          <w:lang w:val="en-US"/>
        </w:rPr>
        <w:t>“</w:t>
      </w:r>
      <w:r w:rsidRPr="0035200B">
        <w:rPr>
          <w:noProof/>
          <w:lang w:val="en-US"/>
        </w:rPr>
        <w:t>Performance evaluation of metamodelling methods for engineering problems: towards a practitioner guide</w:t>
      </w:r>
      <w:r>
        <w:rPr>
          <w:noProof/>
          <w:lang w:val="en-US"/>
        </w:rPr>
        <w:t>”</w:t>
      </w:r>
      <w:r w:rsidRPr="0035200B">
        <w:rPr>
          <w:noProof/>
          <w:lang w:val="en-US"/>
        </w:rPr>
        <w:t>. Struct Multidisc Optim 61, 159–186</w:t>
      </w:r>
      <w:r>
        <w:rPr>
          <w:noProof/>
          <w:lang w:val="en-US"/>
        </w:rPr>
        <w:t xml:space="preserve">, </w:t>
      </w:r>
      <w:r w:rsidRPr="0035200B">
        <w:rPr>
          <w:noProof/>
          <w:lang w:val="en-US"/>
        </w:rPr>
        <w:t>2020</w:t>
      </w:r>
      <w:r>
        <w:rPr>
          <w:noProof/>
          <w:lang w:val="en-US"/>
        </w:rPr>
        <w:t>.</w:t>
      </w:r>
    </w:p>
    <w:p w14:paraId="03D2AE14" w14:textId="77777777" w:rsidR="00ED6B92" w:rsidRDefault="00ED6B92" w:rsidP="00ED6B92">
      <w:pPr>
        <w:rPr>
          <w:noProof/>
          <w:lang w:val="en-US"/>
        </w:rPr>
      </w:pPr>
    </w:p>
    <w:p w14:paraId="446CE119" w14:textId="77777777" w:rsidR="00ED6B92" w:rsidRDefault="00ED6B92" w:rsidP="00ED6B92">
      <w:pPr>
        <w:rPr>
          <w:noProof/>
          <w:lang w:val="en-US"/>
        </w:rPr>
      </w:pPr>
      <w:r w:rsidRPr="005F1CD7">
        <w:rPr>
          <w:noProof/>
          <w:lang w:val="en-US"/>
        </w:rPr>
        <w:t>[1</w:t>
      </w:r>
      <w:r>
        <w:rPr>
          <w:noProof/>
          <w:lang w:val="en-US"/>
        </w:rPr>
        <w:t>8</w:t>
      </w:r>
      <w:r w:rsidRPr="005F1CD7">
        <w:rPr>
          <w:noProof/>
          <w:lang w:val="en-US"/>
        </w:rPr>
        <w:t xml:space="preserve">] </w:t>
      </w:r>
      <w:r w:rsidRPr="0050696A">
        <w:rPr>
          <w:noProof/>
          <w:lang w:val="en-US"/>
        </w:rPr>
        <w:t>A. M. Pereira, C. Tong, J. Wang and J. Liu. "A Kriging-Based Active Learning Algorithm for Mechanical Reliability Analysis with Time-Consuming and Nonlinear Response". Hindawi, Mathematical Problems in Engineering, 2019.</w:t>
      </w:r>
    </w:p>
    <w:p w14:paraId="20045FE4" w14:textId="77777777" w:rsidR="00ED6B92" w:rsidRDefault="00ED6B92" w:rsidP="00ED6B92">
      <w:pPr>
        <w:rPr>
          <w:noProof/>
          <w:lang w:val="en-US"/>
        </w:rPr>
      </w:pPr>
    </w:p>
    <w:p w14:paraId="5CC9F31F" w14:textId="62DF5F34" w:rsidR="0073610A" w:rsidRPr="00ED6B92" w:rsidRDefault="00ED6B92" w:rsidP="00ED6B92">
      <w:pPr>
        <w:rPr>
          <w:i/>
          <w:noProof/>
          <w:lang w:val="en-US"/>
        </w:rPr>
      </w:pPr>
      <w:r w:rsidRPr="005F1CD7">
        <w:rPr>
          <w:noProof/>
          <w:lang w:val="en-US"/>
        </w:rPr>
        <w:t>[1</w:t>
      </w:r>
      <w:r>
        <w:rPr>
          <w:noProof/>
          <w:lang w:val="en-US"/>
        </w:rPr>
        <w:t>9</w:t>
      </w:r>
      <w:r w:rsidRPr="005F1CD7">
        <w:rPr>
          <w:noProof/>
          <w:lang w:val="en-US"/>
        </w:rPr>
        <w:t xml:space="preserve">] </w:t>
      </w:r>
      <w:r w:rsidRPr="00AA2964">
        <w:rPr>
          <w:noProof/>
          <w:lang w:val="en-US"/>
        </w:rPr>
        <w:t>R</w:t>
      </w:r>
      <w:r>
        <w:rPr>
          <w:noProof/>
          <w:lang w:val="en-US"/>
        </w:rPr>
        <w:t>.</w:t>
      </w:r>
      <w:r w:rsidRPr="00AA2964">
        <w:rPr>
          <w:noProof/>
          <w:lang w:val="en-US"/>
        </w:rPr>
        <w:t xml:space="preserve"> Schöbi, B</w:t>
      </w:r>
      <w:r>
        <w:rPr>
          <w:noProof/>
          <w:lang w:val="en-US"/>
        </w:rPr>
        <w:t>.</w:t>
      </w:r>
      <w:r w:rsidRPr="00AA2964">
        <w:rPr>
          <w:noProof/>
          <w:lang w:val="en-US"/>
        </w:rPr>
        <w:t xml:space="preserve"> Sudret</w:t>
      </w:r>
      <w:r>
        <w:rPr>
          <w:noProof/>
          <w:lang w:val="en-US"/>
        </w:rPr>
        <w:t xml:space="preserve"> and</w:t>
      </w:r>
      <w:r w:rsidRPr="00AA2964">
        <w:rPr>
          <w:noProof/>
          <w:lang w:val="en-US"/>
        </w:rPr>
        <w:t xml:space="preserve"> J</w:t>
      </w:r>
      <w:r>
        <w:rPr>
          <w:noProof/>
          <w:lang w:val="en-US"/>
        </w:rPr>
        <w:t>.</w:t>
      </w:r>
      <w:r w:rsidRPr="00AA2964">
        <w:rPr>
          <w:noProof/>
          <w:lang w:val="en-US"/>
        </w:rPr>
        <w:t xml:space="preserve"> Wiart. </w:t>
      </w:r>
      <w:r>
        <w:rPr>
          <w:noProof/>
          <w:lang w:val="en-US"/>
        </w:rPr>
        <w:t>“</w:t>
      </w:r>
      <w:r w:rsidRPr="00AA2964">
        <w:rPr>
          <w:noProof/>
          <w:lang w:val="en-US"/>
        </w:rPr>
        <w:t>Polynomial-Chaos-based Kriging</w:t>
      </w:r>
      <w:r>
        <w:rPr>
          <w:noProof/>
          <w:lang w:val="en-US"/>
        </w:rPr>
        <w:t>”</w:t>
      </w:r>
      <w:r w:rsidRPr="00AA2964">
        <w:rPr>
          <w:noProof/>
          <w:lang w:val="en-US"/>
        </w:rPr>
        <w:t xml:space="preserve"> . International Journal</w:t>
      </w:r>
      <w:r>
        <w:rPr>
          <w:noProof/>
          <w:lang w:val="en-US"/>
        </w:rPr>
        <w:t xml:space="preserve"> </w:t>
      </w:r>
      <w:r w:rsidRPr="00AA2964">
        <w:rPr>
          <w:noProof/>
          <w:lang w:val="en-US"/>
        </w:rPr>
        <w:t xml:space="preserve">for Uncertainty Quantification, Begell House Publishers,  </w:t>
      </w:r>
      <w:r>
        <w:rPr>
          <w:noProof/>
          <w:lang w:val="en-US"/>
        </w:rPr>
        <w:t xml:space="preserve">vol </w:t>
      </w:r>
      <w:r w:rsidRPr="00AA2964">
        <w:rPr>
          <w:noProof/>
          <w:lang w:val="en-US"/>
        </w:rPr>
        <w:t>5, pp.171</w:t>
      </w:r>
      <w:r>
        <w:rPr>
          <w:noProof/>
          <w:lang w:val="en-US"/>
        </w:rPr>
        <w:t>,</w:t>
      </w:r>
      <w:r w:rsidRPr="00D05E47">
        <w:rPr>
          <w:noProof/>
          <w:lang w:val="en-US"/>
        </w:rPr>
        <w:t xml:space="preserve"> 201</w:t>
      </w:r>
      <w:r>
        <w:rPr>
          <w:noProof/>
          <w:lang w:val="en-US"/>
        </w:rPr>
        <w:t>5</w:t>
      </w:r>
      <w:r w:rsidRPr="00D05E47">
        <w:rPr>
          <w:noProof/>
          <w:lang w:val="en-US"/>
        </w:rPr>
        <w:t>.</w:t>
      </w:r>
    </w:p>
    <w:sectPr w:rsidR="0073610A" w:rsidRPr="00ED6B92"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2694B" w14:textId="77777777" w:rsidR="00667E15" w:rsidRDefault="00667E15" w:rsidP="00FB73A9">
      <w:r>
        <w:separator/>
      </w:r>
    </w:p>
  </w:endnote>
  <w:endnote w:type="continuationSeparator" w:id="0">
    <w:p w14:paraId="280A3AAB" w14:textId="77777777" w:rsidR="00667E15" w:rsidRDefault="00667E15"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B3DA7" w14:textId="77777777" w:rsidR="00667E15" w:rsidRDefault="00667E15" w:rsidP="00FB73A9">
      <w:r>
        <w:separator/>
      </w:r>
    </w:p>
  </w:footnote>
  <w:footnote w:type="continuationSeparator" w:id="0">
    <w:p w14:paraId="04E19D48" w14:textId="77777777" w:rsidR="00667E15" w:rsidRDefault="00667E15"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AR" w:eastAsia="es-AR"/>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A720B6"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D17FD" w:rsidRPr="002D17FD">
          <w:rPr>
            <w:rFonts w:cs="Times New Roman"/>
            <w:b/>
            <w:noProof/>
            <w:sz w:val="16"/>
            <w:szCs w:val="16"/>
            <w:lang w:val="es-ES"/>
          </w:rPr>
          <w:t>6</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667E15"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D298" w14:textId="3BF17730" w:rsidR="00D452D6" w:rsidRDefault="00D452D6" w:rsidP="00463356">
    <w:pPr>
      <w:pStyle w:val="Encabezado"/>
      <w:tabs>
        <w:tab w:val="clear" w:pos="8838"/>
      </w:tabs>
      <w:jc w:val="right"/>
      <w:rPr>
        <w:rFonts w:ascii="Square721 Cn BT" w:hAnsi="Square721 Cn BT"/>
      </w:rPr>
    </w:pPr>
    <w:r>
      <w:rPr>
        <w:noProof/>
        <w:lang w:val="es-AR" w:eastAsia="es-AR"/>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383912D2" w:rsidR="00D452D6" w:rsidRPr="00FB73A9" w:rsidRDefault="00AF6404" w:rsidP="00AF6404">
                          <w:pPr>
                            <w:rPr>
                              <w:sz w:val="16"/>
                              <w:szCs w:val="16"/>
                            </w:rPr>
                          </w:pPr>
                          <w:r w:rsidRPr="00AF6404">
                            <w:rPr>
                              <w:sz w:val="16"/>
                              <w:szCs w:val="16"/>
                            </w:rPr>
                            <w:t>Inversión Bayesiana de un Modelo Dinámico No Lineal</w:t>
                          </w:r>
                          <w:r>
                            <w:rPr>
                              <w:sz w:val="16"/>
                              <w:szCs w:val="16"/>
                            </w:rPr>
                            <w:t xml:space="preserve"> para Am</w:t>
                          </w:r>
                          <w:r w:rsidRPr="00AF6404">
                            <w:rPr>
                              <w:sz w:val="16"/>
                              <w:szCs w:val="16"/>
                            </w:rPr>
                            <w:t xml:space="preserve">ortiguadores Tipo </w:t>
                          </w:r>
                          <w:proofErr w:type="spellStart"/>
                          <w:r w:rsidRPr="00AF6404">
                            <w:rPr>
                              <w:sz w:val="16"/>
                              <w:szCs w:val="16"/>
                            </w:rPr>
                            <w:t>Stockbrid</w:t>
                          </w:r>
                          <w:r>
                            <w:rPr>
                              <w:sz w:val="16"/>
                              <w:szCs w:val="16"/>
                            </w:rPr>
                            <w:t>ge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383912D2" w:rsidR="00D452D6" w:rsidRPr="00FB73A9" w:rsidRDefault="00AF6404" w:rsidP="00AF6404">
                    <w:pPr>
                      <w:rPr>
                        <w:sz w:val="16"/>
                        <w:szCs w:val="16"/>
                      </w:rPr>
                    </w:pPr>
                    <w:r w:rsidRPr="00AF6404">
                      <w:rPr>
                        <w:sz w:val="16"/>
                        <w:szCs w:val="16"/>
                      </w:rPr>
                      <w:t>Inversión Bayesiana de un Modelo Dinámico No Lineal</w:t>
                    </w:r>
                    <w:r>
                      <w:rPr>
                        <w:sz w:val="16"/>
                        <w:szCs w:val="16"/>
                      </w:rPr>
                      <w:t xml:space="preserve"> para Am</w:t>
                    </w:r>
                    <w:r w:rsidRPr="00AF6404">
                      <w:rPr>
                        <w:sz w:val="16"/>
                        <w:szCs w:val="16"/>
                      </w:rPr>
                      <w:t xml:space="preserve">ortiguadores Tipo </w:t>
                    </w:r>
                    <w:proofErr w:type="spellStart"/>
                    <w:r w:rsidRPr="00AF6404">
                      <w:rPr>
                        <w:sz w:val="16"/>
                        <w:szCs w:val="16"/>
                      </w:rPr>
                      <w:t>Stockbrid</w:t>
                    </w:r>
                    <w:r>
                      <w:rPr>
                        <w:sz w:val="16"/>
                        <w:szCs w:val="16"/>
                      </w:rPr>
                      <w:t>ge</w:t>
                    </w:r>
                    <w:proofErr w:type="spellEnd"/>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D17FD" w:rsidRPr="002D17FD">
          <w:rPr>
            <w:rFonts w:cs="Times New Roman"/>
            <w:b/>
            <w:noProof/>
            <w:sz w:val="16"/>
            <w:szCs w:val="16"/>
            <w:lang w:val="es-ES"/>
          </w:rPr>
          <w:t>5</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AR" w:eastAsia="es-AR"/>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AF6404" w:rsidRDefault="00456E40" w:rsidP="00D519CE">
    <w:pPr>
      <w:pStyle w:val="Encabezado"/>
      <w:tabs>
        <w:tab w:val="left" w:pos="460"/>
      </w:tabs>
      <w:rPr>
        <w:rFonts w:cs="Times New Roman"/>
        <w:color w:val="003B68"/>
        <w:lang w:val="pt-BR"/>
      </w:rPr>
    </w:pPr>
    <w:r w:rsidRPr="00AF6404">
      <w:rPr>
        <w:rFonts w:cs="Times New Roman"/>
        <w:color w:val="003B68"/>
        <w:lang w:val="pt-BR"/>
      </w:rPr>
      <w:t xml:space="preserve">XV </w:t>
    </w:r>
    <w:r w:rsidR="00744D7B" w:rsidRPr="00AF6404">
      <w:rPr>
        <w:rFonts w:cs="Times New Roman"/>
        <w:color w:val="003B68"/>
        <w:lang w:val="pt-BR"/>
      </w:rPr>
      <w:t>Congresso Ibero-</w:t>
    </w:r>
    <w:r w:rsidR="005713F2" w:rsidRPr="00AF6404">
      <w:rPr>
        <w:rFonts w:cs="Times New Roman"/>
        <w:color w:val="003B68"/>
        <w:lang w:val="pt-BR"/>
      </w:rPr>
      <w:t>a</w:t>
    </w:r>
    <w:r w:rsidR="00744D7B" w:rsidRPr="00AF6404">
      <w:rPr>
        <w:rFonts w:cs="Times New Roman"/>
        <w:color w:val="003B68"/>
        <w:lang w:val="pt-BR"/>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AR" w:eastAsia="es-AR"/>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55B7"/>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E6AD2"/>
    <w:rsid w:val="001E7075"/>
    <w:rsid w:val="001E7B17"/>
    <w:rsid w:val="001F549D"/>
    <w:rsid w:val="001F6ABA"/>
    <w:rsid w:val="00202BA3"/>
    <w:rsid w:val="00203934"/>
    <w:rsid w:val="002073D4"/>
    <w:rsid w:val="00211049"/>
    <w:rsid w:val="00211EF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17FD"/>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13EAA"/>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61135"/>
    <w:rsid w:val="00561DFC"/>
    <w:rsid w:val="0056201A"/>
    <w:rsid w:val="005705C8"/>
    <w:rsid w:val="005713F2"/>
    <w:rsid w:val="00587719"/>
    <w:rsid w:val="00593312"/>
    <w:rsid w:val="00594123"/>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67E15"/>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6AFC"/>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0B89"/>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28F4"/>
    <w:rsid w:val="00A53A2C"/>
    <w:rsid w:val="00A60D18"/>
    <w:rsid w:val="00A64CCD"/>
    <w:rsid w:val="00A74404"/>
    <w:rsid w:val="00A751E1"/>
    <w:rsid w:val="00A84CB6"/>
    <w:rsid w:val="00A85C55"/>
    <w:rsid w:val="00A87F73"/>
    <w:rsid w:val="00A938AB"/>
    <w:rsid w:val="00A9758D"/>
    <w:rsid w:val="00AA4150"/>
    <w:rsid w:val="00AA5FE4"/>
    <w:rsid w:val="00AB530C"/>
    <w:rsid w:val="00AD16A4"/>
    <w:rsid w:val="00AD6B5F"/>
    <w:rsid w:val="00AE1D54"/>
    <w:rsid w:val="00AE3C9D"/>
    <w:rsid w:val="00AE51D3"/>
    <w:rsid w:val="00AE6BC7"/>
    <w:rsid w:val="00AF0701"/>
    <w:rsid w:val="00AF167B"/>
    <w:rsid w:val="00AF4F1C"/>
    <w:rsid w:val="00AF597E"/>
    <w:rsid w:val="00AF59BC"/>
    <w:rsid w:val="00AF6404"/>
    <w:rsid w:val="00B01B0B"/>
    <w:rsid w:val="00B03E1B"/>
    <w:rsid w:val="00B07CC7"/>
    <w:rsid w:val="00B104B2"/>
    <w:rsid w:val="00B127F0"/>
    <w:rsid w:val="00B201AE"/>
    <w:rsid w:val="00B22F9D"/>
    <w:rsid w:val="00B24914"/>
    <w:rsid w:val="00B25D04"/>
    <w:rsid w:val="00B31CDB"/>
    <w:rsid w:val="00B330C2"/>
    <w:rsid w:val="00B42F8C"/>
    <w:rsid w:val="00B45384"/>
    <w:rsid w:val="00B47C55"/>
    <w:rsid w:val="00B51DF3"/>
    <w:rsid w:val="00B57717"/>
    <w:rsid w:val="00B57B67"/>
    <w:rsid w:val="00B57E96"/>
    <w:rsid w:val="00B71ADF"/>
    <w:rsid w:val="00B72243"/>
    <w:rsid w:val="00B73276"/>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6B92"/>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6647F"/>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Epgrafe">
    <w:name w:val="caption"/>
    <w:aliases w:val="Fig Título"/>
    <w:basedOn w:val="Normal"/>
    <w:next w:val="Normal"/>
    <w:link w:val="Epgrafe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Epgrafe"/>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EpgrafeCar">
    <w:name w:val="Epígrafe Car"/>
    <w:aliases w:val="Fig Título Car"/>
    <w:basedOn w:val="Fuentedeprrafopredeter"/>
    <w:link w:val="Epgrafe"/>
    <w:uiPriority w:val="35"/>
    <w:rsid w:val="009C2728"/>
    <w:rPr>
      <w:rFonts w:eastAsiaTheme="minorEastAsia"/>
      <w:iCs/>
      <w:szCs w:val="18"/>
      <w:lang w:eastAsia="es-CO"/>
    </w:rPr>
  </w:style>
  <w:style w:type="character" w:customStyle="1" w:styleId="TablaTtuloChar">
    <w:name w:val="Tabla Título Char"/>
    <w:basedOn w:val="Epgrafe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hbm.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D7CB9131-8DB2-4819-8FAE-38A0CBB8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3920</Words>
  <Characters>21566</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Equipo</cp:lastModifiedBy>
  <cp:revision>2</cp:revision>
  <cp:lastPrinted>2016-05-06T04:48:00Z</cp:lastPrinted>
  <dcterms:created xsi:type="dcterms:W3CDTF">2022-09-26T21:19:00Z</dcterms:created>
  <dcterms:modified xsi:type="dcterms:W3CDTF">2022-09-26T21:19:00Z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