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3D54988C" w:rsidR="002F2CDF" w:rsidRPr="00EC290A" w:rsidRDefault="003A5F1B" w:rsidP="002F2CDF">
      <w:pPr>
        <w:pStyle w:val="Default"/>
        <w:tabs>
          <w:tab w:val="left" w:pos="2268"/>
        </w:tabs>
        <w:jc w:val="center"/>
        <w:rPr>
          <w:b/>
          <w:sz w:val="32"/>
          <w:szCs w:val="28"/>
        </w:rPr>
      </w:pPr>
      <w:r w:rsidRPr="003A5F1B">
        <w:rPr>
          <w:rFonts w:eastAsia="Calibri"/>
          <w:b/>
          <w:bCs/>
          <w:sz w:val="32"/>
          <w:szCs w:val="28"/>
        </w:rPr>
        <w:t>Evaluación de la eficiencia en un quemador de biomasa densificada (pellets) con almacenamiento y amortiguación térmica, emple</w:t>
      </w:r>
      <w:r w:rsidR="007D7F88">
        <w:rPr>
          <w:rFonts w:eastAsia="Calibri"/>
          <w:b/>
          <w:bCs/>
          <w:sz w:val="32"/>
          <w:szCs w:val="28"/>
        </w:rPr>
        <w:t>ado en el calentamiento de aire</w:t>
      </w:r>
      <w:r w:rsidR="00091580">
        <w:rPr>
          <w:rFonts w:eastAsia="Calibri"/>
          <w:b/>
          <w:bCs/>
          <w:sz w:val="32"/>
          <w:szCs w:val="28"/>
        </w:rPr>
        <w:t>.</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062331B8" w14:textId="50A4A00F" w:rsidR="00A476DA" w:rsidRPr="00A84CB6" w:rsidRDefault="00200B26" w:rsidP="00A476DA">
      <w:pPr>
        <w:pStyle w:val="Default"/>
        <w:jc w:val="center"/>
        <w:rPr>
          <w:b/>
          <w:bCs/>
          <w:smallCaps/>
          <w:sz w:val="20"/>
          <w:szCs w:val="20"/>
          <w:vertAlign w:val="superscript"/>
        </w:rPr>
      </w:pPr>
      <w:r>
        <w:rPr>
          <w:b/>
          <w:bCs/>
          <w:sz w:val="20"/>
          <w:szCs w:val="20"/>
        </w:rPr>
        <w:t>A</w:t>
      </w:r>
      <w:r w:rsidR="00E25B8C">
        <w:rPr>
          <w:b/>
          <w:bCs/>
          <w:sz w:val="20"/>
          <w:szCs w:val="20"/>
        </w:rPr>
        <w:t>rly</w:t>
      </w:r>
      <w:r>
        <w:rPr>
          <w:b/>
          <w:bCs/>
          <w:sz w:val="20"/>
          <w:szCs w:val="20"/>
        </w:rPr>
        <w:t xml:space="preserve"> D</w:t>
      </w:r>
      <w:r w:rsidR="00E25B8C">
        <w:rPr>
          <w:b/>
          <w:bCs/>
          <w:sz w:val="20"/>
          <w:szCs w:val="20"/>
        </w:rPr>
        <w:t>arío</w:t>
      </w:r>
      <w:r>
        <w:rPr>
          <w:b/>
          <w:bCs/>
          <w:sz w:val="20"/>
          <w:szCs w:val="20"/>
        </w:rPr>
        <w:t xml:space="preserve"> Rincón-Quintero</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C</w:t>
      </w:r>
      <w:r w:rsidR="00E25B8C">
        <w:rPr>
          <w:b/>
          <w:bCs/>
          <w:sz w:val="20"/>
          <w:szCs w:val="20"/>
        </w:rPr>
        <w:t>amilo</w:t>
      </w:r>
      <w:r>
        <w:rPr>
          <w:b/>
          <w:bCs/>
          <w:sz w:val="20"/>
          <w:szCs w:val="20"/>
        </w:rPr>
        <w:t xml:space="preserve"> L</w:t>
      </w:r>
      <w:r w:rsidR="00E25B8C">
        <w:rPr>
          <w:b/>
          <w:bCs/>
          <w:sz w:val="20"/>
          <w:szCs w:val="20"/>
        </w:rPr>
        <w:t>eonardo</w:t>
      </w:r>
      <w:r>
        <w:rPr>
          <w:b/>
          <w:bCs/>
          <w:sz w:val="20"/>
          <w:szCs w:val="20"/>
        </w:rPr>
        <w:t xml:space="preserve"> Sandoval-Rodríguez</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W</w:t>
      </w:r>
      <w:r w:rsidR="00E25B8C">
        <w:rPr>
          <w:b/>
          <w:bCs/>
          <w:sz w:val="20"/>
          <w:szCs w:val="20"/>
        </w:rPr>
        <w:t>ilmar</w:t>
      </w:r>
      <w:r>
        <w:rPr>
          <w:b/>
          <w:bCs/>
          <w:sz w:val="20"/>
          <w:szCs w:val="20"/>
        </w:rPr>
        <w:t xml:space="preserve"> L</w:t>
      </w:r>
      <w:r w:rsidR="00E25B8C">
        <w:rPr>
          <w:b/>
          <w:bCs/>
          <w:sz w:val="20"/>
          <w:szCs w:val="20"/>
        </w:rPr>
        <w:t>eonardo</w:t>
      </w:r>
      <w:r>
        <w:rPr>
          <w:b/>
          <w:bCs/>
          <w:sz w:val="20"/>
          <w:szCs w:val="20"/>
        </w:rPr>
        <w:t xml:space="preserve"> Rondón-Romero</w:t>
      </w:r>
      <w:r w:rsidR="002F2CDF" w:rsidRPr="00A84CB6">
        <w:rPr>
          <w:b/>
          <w:bCs/>
          <w:smallCaps/>
          <w:sz w:val="20"/>
          <w:szCs w:val="20"/>
          <w:vertAlign w:val="superscript"/>
        </w:rPr>
        <w:t xml:space="preserve"> 3</w:t>
      </w:r>
      <w:r w:rsidR="002F2CDF" w:rsidRPr="00A84CB6">
        <w:rPr>
          <w:b/>
          <w:bCs/>
          <w:smallCaps/>
          <w:sz w:val="20"/>
          <w:szCs w:val="20"/>
        </w:rPr>
        <w:t xml:space="preserve">, </w:t>
      </w:r>
      <w:r w:rsidR="00E25B8C">
        <w:rPr>
          <w:b/>
          <w:bCs/>
          <w:sz w:val="20"/>
          <w:szCs w:val="20"/>
        </w:rPr>
        <w:t> Jairo Augusto Pinto-</w:t>
      </w:r>
      <w:r w:rsidR="00E25B8C" w:rsidRPr="00E25B8C">
        <w:rPr>
          <w:b/>
          <w:bCs/>
          <w:sz w:val="20"/>
          <w:szCs w:val="20"/>
        </w:rPr>
        <w:t>Chacón</w:t>
      </w:r>
      <w:r w:rsidR="00E25B8C">
        <w:rPr>
          <w:b/>
          <w:bCs/>
          <w:smallCaps/>
          <w:sz w:val="20"/>
          <w:szCs w:val="20"/>
          <w:vertAlign w:val="superscript"/>
        </w:rPr>
        <w:t>4</w:t>
      </w:r>
      <w:r w:rsidR="00A476DA" w:rsidRPr="00A84CB6">
        <w:rPr>
          <w:b/>
          <w:bCs/>
          <w:smallCaps/>
          <w:sz w:val="20"/>
          <w:szCs w:val="20"/>
        </w:rPr>
        <w:t xml:space="preserve">, </w:t>
      </w:r>
      <w:r w:rsidR="00E25B8C" w:rsidRPr="00E25B8C">
        <w:rPr>
          <w:b/>
          <w:bCs/>
          <w:sz w:val="20"/>
          <w:szCs w:val="20"/>
        </w:rPr>
        <w:t>Oscar Javier Rodríguez</w:t>
      </w:r>
      <w:r w:rsidR="00E25B8C">
        <w:rPr>
          <w:b/>
          <w:bCs/>
          <w:sz w:val="20"/>
          <w:szCs w:val="20"/>
        </w:rPr>
        <w:t>-</w:t>
      </w:r>
      <w:r w:rsidR="00E25B8C" w:rsidRPr="00E25B8C">
        <w:rPr>
          <w:b/>
          <w:bCs/>
          <w:sz w:val="20"/>
          <w:szCs w:val="20"/>
        </w:rPr>
        <w:t>Diaz</w:t>
      </w:r>
      <w:r w:rsidR="00E25B8C">
        <w:rPr>
          <w:b/>
          <w:bCs/>
          <w:smallCaps/>
          <w:sz w:val="20"/>
          <w:szCs w:val="20"/>
          <w:vertAlign w:val="superscript"/>
        </w:rPr>
        <w:t>5</w:t>
      </w:r>
    </w:p>
    <w:p w14:paraId="092786C4" w14:textId="1AE2B414" w:rsidR="002F2CDF" w:rsidRDefault="002F2CDF" w:rsidP="00A476DA">
      <w:pPr>
        <w:pStyle w:val="Default"/>
        <w:jc w:val="center"/>
        <w:rPr>
          <w:sz w:val="20"/>
          <w:szCs w:val="20"/>
        </w:rPr>
      </w:pPr>
    </w:p>
    <w:p w14:paraId="55D6CFE1" w14:textId="77777777" w:rsidR="00E25B8C" w:rsidRDefault="00E25B8C" w:rsidP="00A476DA">
      <w:pPr>
        <w:pStyle w:val="Default"/>
        <w:jc w:val="center"/>
        <w:rPr>
          <w:sz w:val="20"/>
          <w:szCs w:val="20"/>
        </w:rPr>
      </w:pPr>
    </w:p>
    <w:p w14:paraId="2CF1D5BD" w14:textId="77777777" w:rsidR="00E25B8C" w:rsidRPr="0079704E" w:rsidRDefault="00E25B8C" w:rsidP="00A476DA">
      <w:pPr>
        <w:pStyle w:val="Default"/>
        <w:jc w:val="center"/>
        <w:rPr>
          <w:sz w:val="20"/>
          <w:szCs w:val="20"/>
        </w:rPr>
      </w:pPr>
    </w:p>
    <w:p w14:paraId="4C69B73D" w14:textId="5D984B34" w:rsidR="002F2CDF" w:rsidRPr="00FB73A9" w:rsidRDefault="002F2CDF" w:rsidP="002F2CDF">
      <w:pPr>
        <w:jc w:val="center"/>
        <w:rPr>
          <w:sz w:val="18"/>
        </w:rPr>
      </w:pPr>
      <w:r w:rsidRPr="00FB73A9">
        <w:rPr>
          <w:sz w:val="18"/>
          <w:vertAlign w:val="superscript"/>
        </w:rPr>
        <w:t>1</w:t>
      </w:r>
      <w:r w:rsidRPr="00FB73A9">
        <w:rPr>
          <w:sz w:val="18"/>
        </w:rPr>
        <w:t>Grupo de investigación</w:t>
      </w:r>
      <w:r w:rsidR="00E25B8C">
        <w:rPr>
          <w:sz w:val="18"/>
        </w:rPr>
        <w:t xml:space="preserve"> en Diseño y Materiales</w:t>
      </w:r>
      <w:r w:rsidR="007B53BA">
        <w:rPr>
          <w:sz w:val="18"/>
        </w:rPr>
        <w:t xml:space="preserve"> DIMAT</w:t>
      </w:r>
      <w:r w:rsidRPr="00FB73A9">
        <w:rPr>
          <w:sz w:val="18"/>
        </w:rPr>
        <w:t xml:space="preserve">, </w:t>
      </w:r>
      <w:r w:rsidR="00E25B8C">
        <w:rPr>
          <w:sz w:val="18"/>
        </w:rPr>
        <w:t>Ingeniería Electromecánica</w:t>
      </w:r>
      <w:r w:rsidRPr="00FB73A9">
        <w:rPr>
          <w:sz w:val="18"/>
        </w:rPr>
        <w:t xml:space="preserve">, </w:t>
      </w:r>
      <w:r w:rsidR="00E25B8C">
        <w:rPr>
          <w:sz w:val="18"/>
        </w:rPr>
        <w:t>Unidades Tecnológicas de Santander</w:t>
      </w:r>
      <w:r w:rsidRPr="00FB73A9">
        <w:rPr>
          <w:sz w:val="18"/>
        </w:rPr>
        <w:t xml:space="preserve">, </w:t>
      </w:r>
      <w:r w:rsidR="00E25B8C">
        <w:rPr>
          <w:sz w:val="18"/>
        </w:rPr>
        <w:t>Colombia</w:t>
      </w:r>
      <w:r w:rsidRPr="00FB73A9">
        <w:rPr>
          <w:sz w:val="18"/>
        </w:rPr>
        <w:t xml:space="preserve">. Email: </w:t>
      </w:r>
      <w:r w:rsidR="00420128">
        <w:rPr>
          <w:sz w:val="18"/>
        </w:rPr>
        <w:t>arincon@correo.uts.edu.co</w:t>
      </w:r>
    </w:p>
    <w:p w14:paraId="7B1485FE" w14:textId="030C2263" w:rsidR="00420128" w:rsidRPr="00420128" w:rsidRDefault="002F2CDF" w:rsidP="007B53BA">
      <w:pPr>
        <w:jc w:val="center"/>
        <w:rPr>
          <w:sz w:val="18"/>
        </w:rPr>
      </w:pPr>
      <w:r w:rsidRPr="00420128">
        <w:rPr>
          <w:rStyle w:val="Refdenotaalpie"/>
          <w:rFonts w:cs="Times New Roman"/>
          <w:sz w:val="18"/>
          <w:szCs w:val="18"/>
        </w:rPr>
        <w:t xml:space="preserve">2 </w:t>
      </w:r>
      <w:r w:rsidR="007B53BA" w:rsidRPr="007B53BA">
        <w:rPr>
          <w:sz w:val="18"/>
        </w:rPr>
        <w:t>Grupo de Investigación en sistemas de energía, automatización y control GISEAC</w:t>
      </w:r>
      <w:r w:rsidR="00420128" w:rsidRPr="00420128">
        <w:rPr>
          <w:sz w:val="18"/>
        </w:rPr>
        <w:t xml:space="preserve">, Ingeniería Electromecánica, Unidades Tecnológicas de Santander, Colombia. Email: </w:t>
      </w:r>
      <w:r w:rsidR="007B53BA">
        <w:rPr>
          <w:sz w:val="18"/>
        </w:rPr>
        <w:t>csandoval</w:t>
      </w:r>
      <w:r w:rsidR="00420128" w:rsidRPr="00420128">
        <w:rPr>
          <w:sz w:val="18"/>
        </w:rPr>
        <w:t>@correo.uts.edu.co</w:t>
      </w:r>
    </w:p>
    <w:p w14:paraId="73112E86" w14:textId="368A0227" w:rsidR="00420128" w:rsidRPr="00420128" w:rsidRDefault="002F2CDF" w:rsidP="00420128">
      <w:pPr>
        <w:jc w:val="center"/>
        <w:rPr>
          <w:sz w:val="18"/>
        </w:rPr>
      </w:pPr>
      <w:r w:rsidRPr="00420128">
        <w:rPr>
          <w:rStyle w:val="Refdenotaalpie"/>
          <w:sz w:val="18"/>
          <w:szCs w:val="18"/>
        </w:rPr>
        <w:t>3</w:t>
      </w:r>
      <w:r w:rsidRPr="00420128">
        <w:rPr>
          <w:vertAlign w:val="superscript"/>
        </w:rPr>
        <w:t xml:space="preserve"> </w:t>
      </w:r>
      <w:r w:rsidR="00420128" w:rsidRPr="00420128">
        <w:rPr>
          <w:sz w:val="18"/>
        </w:rPr>
        <w:t>Grupo de investigación en Diseño y Materiales</w:t>
      </w:r>
      <w:r w:rsidR="007B53BA">
        <w:rPr>
          <w:sz w:val="18"/>
        </w:rPr>
        <w:t xml:space="preserve"> DIMAT</w:t>
      </w:r>
      <w:r w:rsidR="00420128" w:rsidRPr="00420128">
        <w:rPr>
          <w:sz w:val="18"/>
        </w:rPr>
        <w:t xml:space="preserve">, Ingeniería Electromecánica, Unidades Tecnológicas de Santander, Colombia. Email: </w:t>
      </w:r>
      <w:r w:rsidR="007B53BA">
        <w:rPr>
          <w:sz w:val="18"/>
        </w:rPr>
        <w:t>wrondon</w:t>
      </w:r>
      <w:r w:rsidR="00420128" w:rsidRPr="00420128">
        <w:rPr>
          <w:sz w:val="18"/>
        </w:rPr>
        <w:t>@correo.uts.edu.co</w:t>
      </w:r>
    </w:p>
    <w:p w14:paraId="30AE7EF0" w14:textId="7F97675E" w:rsidR="00420128" w:rsidRPr="00420128" w:rsidRDefault="002F2CDF" w:rsidP="00420128">
      <w:pPr>
        <w:jc w:val="center"/>
        <w:rPr>
          <w:sz w:val="18"/>
        </w:rPr>
      </w:pPr>
      <w:r w:rsidRPr="00FB73A9">
        <w:rPr>
          <w:bCs/>
          <w:smallCaps/>
          <w:sz w:val="18"/>
          <w:vertAlign w:val="superscript"/>
        </w:rPr>
        <w:t xml:space="preserve">4 </w:t>
      </w:r>
      <w:r w:rsidR="00420128" w:rsidRPr="00420128">
        <w:rPr>
          <w:sz w:val="18"/>
        </w:rPr>
        <w:t>Grupo de investigación en Diseño y Materiales</w:t>
      </w:r>
      <w:r w:rsidR="007B53BA">
        <w:rPr>
          <w:sz w:val="18"/>
        </w:rPr>
        <w:t xml:space="preserve"> DIMAT</w:t>
      </w:r>
      <w:r w:rsidR="00420128" w:rsidRPr="00420128">
        <w:rPr>
          <w:sz w:val="18"/>
        </w:rPr>
        <w:t xml:space="preserve">, Ingeniería Electromecánica, Unidades Tecnológicas de Santander, Colombia. Email: </w:t>
      </w:r>
      <w:r w:rsidR="007B53BA">
        <w:rPr>
          <w:sz w:val="18"/>
        </w:rPr>
        <w:t>jairoapinto@</w:t>
      </w:r>
      <w:r w:rsidR="00420128" w:rsidRPr="00420128">
        <w:rPr>
          <w:sz w:val="18"/>
        </w:rPr>
        <w:t>uts.edu.co</w:t>
      </w:r>
    </w:p>
    <w:p w14:paraId="4D677612" w14:textId="1AE0EAFF" w:rsidR="00420128" w:rsidRPr="00420128" w:rsidRDefault="00420128" w:rsidP="00420128">
      <w:pPr>
        <w:jc w:val="center"/>
        <w:rPr>
          <w:sz w:val="18"/>
        </w:rPr>
      </w:pPr>
      <w:r>
        <w:rPr>
          <w:sz w:val="18"/>
          <w:vertAlign w:val="superscript"/>
        </w:rPr>
        <w:t>5</w:t>
      </w:r>
      <w:r w:rsidRPr="00420128">
        <w:rPr>
          <w:sz w:val="18"/>
        </w:rPr>
        <w:t xml:space="preserve"> Grupo de investigación en Diseño y Materiales</w:t>
      </w:r>
      <w:r w:rsidR="00301A64">
        <w:rPr>
          <w:sz w:val="18"/>
        </w:rPr>
        <w:t xml:space="preserve"> DIMAT</w:t>
      </w:r>
      <w:r w:rsidRPr="00420128">
        <w:rPr>
          <w:sz w:val="18"/>
        </w:rPr>
        <w:t xml:space="preserve">, Ingeniería Electromecánica, Unidades Tecnológicas de Santander, Colombia. Email: </w:t>
      </w:r>
      <w:r w:rsidR="00301A64">
        <w:rPr>
          <w:sz w:val="18"/>
        </w:rPr>
        <w:t>ojrodriguez@</w:t>
      </w:r>
      <w:r w:rsidRPr="00420128">
        <w:rPr>
          <w:sz w:val="18"/>
        </w:rPr>
        <w:t>uts.edu.co</w:t>
      </w:r>
    </w:p>
    <w:p w14:paraId="4AA07573" w14:textId="4960B302" w:rsidR="002F2CDF" w:rsidRPr="00420128" w:rsidRDefault="002F2CDF" w:rsidP="002F2CDF">
      <w:pPr>
        <w:jc w:val="center"/>
        <w:rPr>
          <w:sz w:val="18"/>
        </w:rPr>
      </w:pP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5CA4F7CA" w14:textId="77777777" w:rsidR="00A43C74" w:rsidRDefault="00AB6E43" w:rsidP="00FB73A9">
      <w:r w:rsidRPr="00AB6E43">
        <w:t xml:space="preserve">La investigación aborda la implementación y evaluación de la eficiencia en un quemador de biomasa densificada (pellets) con almacenamiento y amortiguación térmica, encargado de calentar aire que se utiliza en un proceso de secado de almendras de cacao. Inicialmente se efectúa una revisión técnico científica sobre tecnologías empleadas en estos dispositivos, recurriendo a la herramienta de visualización de redes bibliométricas VOSviewer. </w:t>
      </w:r>
    </w:p>
    <w:p w14:paraId="70B08A23" w14:textId="3FC2F0C7" w:rsidR="00A43C74" w:rsidRDefault="00AB6E43" w:rsidP="00FB73A9">
      <w:r w:rsidRPr="00AB6E43">
        <w:t xml:space="preserve">En una segunda fase, se realiza el diseño conceptual, el dimensionamiento y la simulación mediante software CAD de un equipo con alimentación de pellets mediante tornillo sinfín, dos entradas de aire para la combustión y un soplador que mueve el aire de calentamiento a través de un serpentín sumergido en un tanque con aceite, donde, recibe y absorbe el calor de una cámara de combustión, amortiguando y almacenando la energía liberada, identificando mediante un análisis computacional el comportamiento de los fluidos del proceso y el tipo de combustión que se lleva a cabo. Posteriormente, se construye el prototipo basado en la simulación y paralelamente se fabrican pellets con el material vegetal desechado en el </w:t>
      </w:r>
      <w:proofErr w:type="spellStart"/>
      <w:r w:rsidRPr="00AB6E43">
        <w:t>desengrullado</w:t>
      </w:r>
      <w:proofErr w:type="spellEnd"/>
      <w:r w:rsidRPr="00AB6E43">
        <w:t xml:space="preserve"> o despulpado del fruto de cacao, este combustible reporta según literatura un pod</w:t>
      </w:r>
      <w:r w:rsidR="00A43C74">
        <w:t>er calorífico de hasta 17 MJ/kg.</w:t>
      </w:r>
    </w:p>
    <w:p w14:paraId="628347A1" w14:textId="052E4F4D" w:rsidR="00845B18" w:rsidRDefault="00AB6E43" w:rsidP="00FB73A9">
      <w:r w:rsidRPr="00AB6E43">
        <w:t>Durante la fase experimental se realizan pruebas de funcionamiento preliminar, donde se ajustan caudales de los fluidos, velocidad del tornillo sinfín y calibración de los dispositivos mecánicos y eléctricos. Finalmente, se realizan pruebas con operación del equipo durante 12 horas continuas, registrando un consumo promedio de pellets de un kilogramo por hora, donde se establece que el tiempo que requiere el aceite para alcanzar una temperatura estable de 100°C son 95 minutos, manteniéndose alrededor de esta durante el resto del periodo; con esto, se registra una temperatura de salida del aire caliente en promedio a 90°C, suficiente para el uso que se pretende. La eficiencia térmica del equipo después de la fase experimental está cercana al 55%, sin embargo, es necesario mejorar el control en el caudal de los fluidos y la velocidad de alimentación de combustible mediante un sistema electrónico especializado que optimice el proceso</w:t>
      </w:r>
      <w:r w:rsidR="00A43C74">
        <w:t>.</w:t>
      </w:r>
    </w:p>
    <w:p w14:paraId="6B004A46" w14:textId="77777777" w:rsidR="00A43C74" w:rsidRDefault="00A43C74" w:rsidP="00FB73A9"/>
    <w:p w14:paraId="70A85AF5" w14:textId="4E1B701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CE34E8" w:rsidRPr="00CE34E8">
        <w:t>Quemador de pellets, biomasa, simulación térmica de fluidos por Solidworks.</w:t>
      </w:r>
    </w:p>
    <w:p w14:paraId="65B0EAD8" w14:textId="77777777" w:rsidR="00E53539" w:rsidRPr="00806FF8" w:rsidRDefault="00E53539" w:rsidP="00E34FCE">
      <w:pPr>
        <w:pStyle w:val="Default"/>
        <w:ind w:right="-232"/>
        <w:jc w:val="both"/>
        <w:rPr>
          <w:sz w:val="20"/>
        </w:rPr>
      </w:pPr>
    </w:p>
    <w:p w14:paraId="357A92A6" w14:textId="77777777" w:rsidR="00845B18" w:rsidRDefault="00845B18" w:rsidP="00E34FCE">
      <w:pPr>
        <w:pStyle w:val="Default"/>
        <w:ind w:right="-232"/>
        <w:jc w:val="both"/>
        <w:rPr>
          <w:sz w:val="20"/>
        </w:rPr>
      </w:pPr>
    </w:p>
    <w:p w14:paraId="7D69DDB6" w14:textId="77777777" w:rsidR="00522CA9" w:rsidRDefault="00522CA9" w:rsidP="00E34FCE">
      <w:pPr>
        <w:pStyle w:val="Default"/>
        <w:ind w:right="-232"/>
        <w:jc w:val="both"/>
        <w:rPr>
          <w:sz w:val="20"/>
        </w:rPr>
      </w:pPr>
    </w:p>
    <w:p w14:paraId="616B892C" w14:textId="77777777" w:rsidR="00522CA9" w:rsidRPr="00806FF8" w:rsidRDefault="00522CA9"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lastRenderedPageBreak/>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7908AFDC" w14:textId="77777777" w:rsidR="00A43C74" w:rsidRPr="00A43C74" w:rsidRDefault="00A43C74" w:rsidP="00A43C74">
      <w:pPr>
        <w:rPr>
          <w:lang w:val="en"/>
        </w:rPr>
      </w:pPr>
      <w:r w:rsidRPr="00A43C74">
        <w:rPr>
          <w:lang w:val="en"/>
        </w:rPr>
        <w:t>The research deals with the implementation and evaluation of the efficiency in a densified biomass burner (pellets) with storage and thermal damping, in charge of heating air that is used in a cocoa almond drying process. Initially, a scientific technical review is carried out on the technologies used in these devices, using the VOSviewer bibliometric network visualization tool.</w:t>
      </w:r>
    </w:p>
    <w:p w14:paraId="5D4F90AB" w14:textId="77777777" w:rsidR="00A43C74" w:rsidRPr="00A43C74" w:rsidRDefault="00A43C74" w:rsidP="00A43C74">
      <w:pPr>
        <w:rPr>
          <w:lang w:val="en"/>
        </w:rPr>
      </w:pPr>
      <w:r w:rsidRPr="00A43C74">
        <w:rPr>
          <w:lang w:val="en"/>
        </w:rPr>
        <w:t>In a second phase, the conceptual design, dimensioning and simulation are carried out using CAD software of a unit with feed for pellets by means of an endless screw, two air inlets for combustion and a blower that moves the heating air through a coil submerged in a tank with oil, where it receives and absorbs the heat of a combustion chamber, buffering and storing the energy released, identifying through computational analysis the behavior of the process fluids and the type of combustion that takes place . Subsequently, the prototype based on the simulation is built and in parallel pellets are manufactured with the vegetable material discarded in the disemboweling or pulping of the cocoa fruit, this fuel reports, according to the literature, a calorific value of up to 17 MJ/kg.</w:t>
      </w:r>
    </w:p>
    <w:p w14:paraId="506DD2CD" w14:textId="77777777" w:rsidR="00A43C74" w:rsidRPr="00A43C74" w:rsidRDefault="00A43C74" w:rsidP="00A43C74">
      <w:pPr>
        <w:rPr>
          <w:lang w:val="en-US"/>
        </w:rPr>
      </w:pPr>
      <w:r w:rsidRPr="00A43C74">
        <w:rPr>
          <w:lang w:val="en"/>
        </w:rPr>
        <w:t>During the experimental phase, preliminary operating tests are carried out, where fluid flow rates, screw speed and calibration of mechanical and electrical devices are adjusted. Finally, tests are carried out with the equipment operating for 12 continuous hours, recording an average consumption of pellets of one kilogram per hour, where it is established that the time required for the oil to reach a stable temperature of 100°C is 95 minutes, maintaining around this for the rest of the period; With this, an average hot air outlet temperature of 90°C is recorded, sufficient for the intended use. The thermal efficiency of the equipment after the experimental phase is close to 55%, however, it is necessary to improve the control of the flow of fluids and the speed of fuel feeding through a specialized electronic system that optimizes the process.</w:t>
      </w:r>
    </w:p>
    <w:p w14:paraId="615FDBA7" w14:textId="77777777" w:rsidR="00845B18" w:rsidRPr="00A43C74" w:rsidRDefault="00845B18" w:rsidP="00FB73A9">
      <w:pPr>
        <w:rPr>
          <w:rStyle w:val="hps"/>
          <w:rFonts w:cs="Times New Roman"/>
          <w:color w:val="000000"/>
          <w:lang w:val="en-US"/>
        </w:rPr>
      </w:pPr>
    </w:p>
    <w:p w14:paraId="56223B0F" w14:textId="77777777" w:rsidR="00A43C74" w:rsidRPr="00A43C74" w:rsidRDefault="00032799" w:rsidP="00A43C74">
      <w:pPr>
        <w:rPr>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A43C74" w:rsidRPr="00A43C74">
        <w:rPr>
          <w:lang w:val="en"/>
        </w:rPr>
        <w:t xml:space="preserve">Pellet burner, biomass, </w:t>
      </w:r>
      <w:proofErr w:type="gramStart"/>
      <w:r w:rsidR="00A43C74" w:rsidRPr="00A43C74">
        <w:rPr>
          <w:lang w:val="en"/>
        </w:rPr>
        <w:t>thermal</w:t>
      </w:r>
      <w:proofErr w:type="gramEnd"/>
      <w:r w:rsidR="00A43C74" w:rsidRPr="00A43C74">
        <w:rPr>
          <w:lang w:val="en"/>
        </w:rPr>
        <w:t xml:space="preserve"> simulation of fluids by Solidworks.</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64EC8DCB" w14:textId="2E6A30E5" w:rsidR="00CE34E8" w:rsidRDefault="00CE34E8" w:rsidP="00CE34E8">
      <w:pPr>
        <w:rPr>
          <w:lang w:val="es-ES"/>
        </w:rPr>
      </w:pPr>
      <w:r w:rsidRPr="00CE34E8">
        <w:rPr>
          <w:lang w:val="es-ES"/>
        </w:rPr>
        <w:t>Los pellets son potencialmente interesantes no solo por la alta participación (82%) en la producción de calor renovable, sino también por la ventaja del menor precio de la energía con respecto a los combustibles fósiles. Puede desempeñar un papel importante en la mitigación de las emis</w:t>
      </w:r>
      <w:r w:rsidR="0003158E">
        <w:rPr>
          <w:lang w:val="es-ES"/>
        </w:rPr>
        <w:t>iones de dióxido de carbono (CO</w:t>
      </w:r>
      <w:r w:rsidRPr="00CE34E8">
        <w:rPr>
          <w:vertAlign w:val="subscript"/>
          <w:lang w:val="es-ES"/>
        </w:rPr>
        <w:t>2</w:t>
      </w:r>
      <w:r w:rsidR="0003158E">
        <w:rPr>
          <w:lang w:val="es-ES"/>
        </w:rPr>
        <w:t>)</w:t>
      </w:r>
      <w:r w:rsidRPr="00CE34E8">
        <w:rPr>
          <w:lang w:val="es-ES"/>
        </w:rPr>
        <w:t xml:space="preserve"> y ser una alternativa a los combustibles fósiles como fuente de energía renovable y neutra en carbono </w:t>
      </w:r>
      <w:r w:rsidRPr="00CE34E8">
        <w:rPr>
          <w:lang w:val="es-ES"/>
        </w:rPr>
        <w:fldChar w:fldCharType="begin" w:fldLock="1"/>
      </w:r>
      <w:r w:rsidR="00806391">
        <w:rPr>
          <w:lang w:val="es-ES"/>
        </w:rPr>
        <w:instrText>ADDIN CSL_CITATION {"citationItems":[{"id":"ITEM-1","itemData":{"DOI":"https://doi.org/10.1016/j.rser.2020.110113","ISSN":"1364-0321","abstract":"In order to fulfill the European Union's climate and energy goals, the heating and cooling sector must cut its use of fossil fuels. Solid biomass can constitute an alternative to fossil fuels as a renewable and carbon-neutral source of energy but there are some aspects to biomass combustion in small-scale domestic appliances that can compromise the environmental sustainability of this renewable energy source in terms of burden on air quality. The priority pollutants in this respect are particulate matter and nitrogen oxides. While particulate matter emissions are often discussed, nitrogen oxides emissions from domestic heating appliances are relatively less in the center of attention. The aim of the present study is to review the literature regarding the nitrogen oxides emissions from this emission source discussing the main formation mechanisms and the state-of-the-art control techniques, as well as the influence of fuel composition (especially fuel bound nitrogen), heating appliance type and operating conditions with the help of the gathered experimental emission factors data. The review crosslinks several aspects usually treated separately in scientific papers (e.g., only laboratory tests with basic theory or only field tests on emission levels etc.), providing thus a quick reference tool to the state-of-the-art knowledge on this topic.","author":[{"dropping-particle":"","family":"Ozgen","given":"S","non-dropping-particle":"","parse-names":false,"suffix":""},{"dropping-particle":"","family":"Cernuschi","given":"S","non-dropping-particle":"","parse-names":false,"suffix":""},{"dropping-particle":"","family":"Caserini","given":"S","non-dropping-particle":"","parse-names":false,"suffix":""}],"container-title":"Renewable and Sustainable Energy Reviews","id":"ITEM-1","issued":{"date-parts":[["2021"]]},"page":"110113","title":"An overview of nitrogen oxides emissions from biomass combustion for domestic heat production","type":"article-journal","volume":"135"},"uris":["http://www.mendeley.com/documents/?uuid=b879349d-7d41-48a4-9adb-fa30f72aa1f2","http://www.mendeley.com/documents/?uuid=b1bc9c11-df2d-4917-a3b1-ac51bae15958"]}],"mendeley":{"formattedCitation":"[1]","plainTextFormattedCitation":"[1]","previouslyFormattedCitation":"(Ozgen, Cernuschi, &amp; Caserini, 2021)"},"properties":{"noteIndex":0},"schema":"https://github.com/citation-style-language/schema/raw/master/csl-citation.json"}</w:instrText>
      </w:r>
      <w:r w:rsidRPr="00CE34E8">
        <w:rPr>
          <w:lang w:val="es-ES"/>
        </w:rPr>
        <w:fldChar w:fldCharType="separate"/>
      </w:r>
      <w:r w:rsidR="00806391" w:rsidRPr="00806391">
        <w:rPr>
          <w:noProof/>
          <w:lang w:val="es-ES"/>
        </w:rPr>
        <w:t>[1]</w:t>
      </w:r>
      <w:r w:rsidRPr="00CE34E8">
        <w:fldChar w:fldCharType="end"/>
      </w:r>
      <w:r w:rsidRPr="00CE34E8">
        <w:rPr>
          <w:lang w:val="es-ES"/>
        </w:rPr>
        <w:t>.</w:t>
      </w:r>
    </w:p>
    <w:p w14:paraId="03428D62" w14:textId="77777777" w:rsidR="0003158E" w:rsidRPr="00CE34E8" w:rsidRDefault="0003158E" w:rsidP="00CE34E8">
      <w:pPr>
        <w:rPr>
          <w:lang w:val="es-ES"/>
        </w:rPr>
      </w:pPr>
    </w:p>
    <w:p w14:paraId="6208A09A" w14:textId="77777777" w:rsidR="00CE34E8" w:rsidRDefault="00CE34E8" w:rsidP="00CE34E8">
      <w:pPr>
        <w:rPr>
          <w:lang w:val="es-ES"/>
        </w:rPr>
      </w:pPr>
      <w:r w:rsidRPr="00CE34E8">
        <w:rPr>
          <w:lang w:val="es-ES"/>
        </w:rPr>
        <w:t>Existen procesos de calor como el secado o tostado de cacao y café que requieren grandes cantidades de energía dentro de un proceso productivo, cuando se habla de la implementación de las energías no convencionales en Colombia el uso de la biomasa ha primado como alternativa viable y de gran potencia teniendo en cuenta el potencial de la región en términos de agricultura. Por ello teniendo como base el aprovechamiento de los residuos agrícolas para procesos térmicos que requieran un caudal de aire a temperaturas cercanas a los 60 o 120 °C, se plantea el diseño y construcción de un sistema de combustión de pellets.</w:t>
      </w:r>
    </w:p>
    <w:p w14:paraId="2B3696AF" w14:textId="77777777" w:rsidR="0003158E" w:rsidRPr="00CE34E8" w:rsidRDefault="0003158E" w:rsidP="00CE34E8">
      <w:pPr>
        <w:rPr>
          <w:lang w:val="es-ES"/>
        </w:rPr>
      </w:pPr>
    </w:p>
    <w:p w14:paraId="33ED3191" w14:textId="39DCED98" w:rsidR="009B4D5F" w:rsidRPr="00CE34E8" w:rsidRDefault="00CE34E8" w:rsidP="002E2C39">
      <w:pPr>
        <w:rPr>
          <w:lang w:val="es-ES"/>
        </w:rPr>
      </w:pPr>
      <w:r w:rsidRPr="00CE34E8">
        <w:rPr>
          <w:lang w:val="es-ES"/>
        </w:rPr>
        <w:t xml:space="preserve">En este documento se muestra el procedimiento aplicado para la selección de las características del sistema de combustión en el cual se destaca el control del caudal de la biomasa mediante un tornillo sinfín y la extracción de ceniza. Los mecanismos implementados también se orientan a la estabilización </w:t>
      </w:r>
      <w:r w:rsidRPr="00CE34E8">
        <w:rPr>
          <w:lang w:val="es-ES"/>
        </w:rPr>
        <w:lastRenderedPageBreak/>
        <w:t>de la temperatura mediante un fluido que almacena el calor y los transfiere al fluido de trabajo.</w:t>
      </w:r>
    </w:p>
    <w:p w14:paraId="528BE49F" w14:textId="77777777" w:rsidR="008B2977" w:rsidRDefault="008B2977" w:rsidP="00FB73A9"/>
    <w:p w14:paraId="6309CD26" w14:textId="36BCC79C" w:rsidR="00CE34E8" w:rsidRPr="00CE34E8" w:rsidRDefault="0003158E" w:rsidP="00CE34E8">
      <w:pPr>
        <w:pStyle w:val="Ttulo1"/>
      </w:pPr>
      <w:r>
        <w:t>Metodología</w:t>
      </w:r>
    </w:p>
    <w:p w14:paraId="0A100C5D" w14:textId="77777777" w:rsidR="00CE34E8" w:rsidRPr="00CE34E8" w:rsidRDefault="00CE34E8" w:rsidP="00CE34E8">
      <w:pPr>
        <w:jc w:val="left"/>
        <w:rPr>
          <w:rFonts w:ascii="Arial" w:eastAsia="Times New Roman" w:hAnsi="Arial" w:cs="Times New Roman"/>
          <w:sz w:val="18"/>
          <w:szCs w:val="24"/>
          <w:lang w:val="es-ES" w:eastAsia="es-ES"/>
        </w:rPr>
      </w:pPr>
    </w:p>
    <w:p w14:paraId="24B7124B" w14:textId="2D0BB155" w:rsidR="00CE34E8" w:rsidRDefault="00CE34E8" w:rsidP="00CE34E8">
      <w:pPr>
        <w:rPr>
          <w:rFonts w:eastAsia="Times New Roman" w:cs="Times New Roman"/>
          <w:lang w:eastAsia="es-ES"/>
        </w:rPr>
      </w:pPr>
      <w:r w:rsidRPr="0003158E">
        <w:rPr>
          <w:rFonts w:eastAsia="Times New Roman" w:cs="Times New Roman"/>
          <w:lang w:val="es-ES" w:eastAsia="es-ES"/>
        </w:rPr>
        <w:t xml:space="preserve">Para dar comienzo a la exploración de la bibliografía se implementa una metodología de </w:t>
      </w:r>
      <w:proofErr w:type="gramStart"/>
      <w:r w:rsidRPr="0003158E">
        <w:rPr>
          <w:rFonts w:eastAsia="Times New Roman" w:cs="Times New Roman"/>
          <w:lang w:val="es-ES" w:eastAsia="es-ES"/>
        </w:rPr>
        <w:t xml:space="preserve">trabajo </w:t>
      </w:r>
      <w:r w:rsidR="003A5F1B" w:rsidRPr="0003158E">
        <w:rPr>
          <w:rFonts w:eastAsia="Times New Roman" w:cs="Times New Roman"/>
          <w:lang w:val="es-ES" w:eastAsia="es-ES"/>
        </w:rPr>
        <w:t>,</w:t>
      </w:r>
      <w:proofErr w:type="gramEnd"/>
      <w:r w:rsidR="003A5F1B" w:rsidRPr="0003158E">
        <w:rPr>
          <w:rFonts w:eastAsia="Times New Roman" w:cs="Times New Roman"/>
          <w:lang w:val="es-ES" w:eastAsia="es-ES"/>
        </w:rPr>
        <w:t xml:space="preserve"> usando </w:t>
      </w:r>
      <w:r w:rsidRPr="0003158E">
        <w:rPr>
          <w:rFonts w:eastAsia="Times New Roman" w:cs="Times New Roman"/>
          <w:lang w:val="es-ES" w:eastAsia="es-ES"/>
        </w:rPr>
        <w:t>una herramienta de visualización de redes bibliométricas VOSviewer. El primer paso requiere el abordaje de una base de datos como lo es Web of Science (</w:t>
      </w:r>
      <w:proofErr w:type="spellStart"/>
      <w:r w:rsidRPr="0003158E">
        <w:rPr>
          <w:rFonts w:eastAsia="Times New Roman" w:cs="Times New Roman"/>
          <w:lang w:val="es-ES" w:eastAsia="es-ES"/>
        </w:rPr>
        <w:t>WoS</w:t>
      </w:r>
      <w:proofErr w:type="spellEnd"/>
      <w:r w:rsidRPr="0003158E">
        <w:rPr>
          <w:rFonts w:eastAsia="Times New Roman" w:cs="Times New Roman"/>
          <w:lang w:val="es-ES" w:eastAsia="es-ES"/>
        </w:rPr>
        <w:t xml:space="preserve">), con la ecuación </w:t>
      </w:r>
      <w:r w:rsidRPr="0003158E">
        <w:rPr>
          <w:rFonts w:eastAsia="Times New Roman" w:cs="Times New Roman"/>
          <w:lang w:eastAsia="es-ES"/>
        </w:rPr>
        <w:t xml:space="preserve">“(boiler* OR </w:t>
      </w:r>
      <w:proofErr w:type="spellStart"/>
      <w:r w:rsidRPr="0003158E">
        <w:rPr>
          <w:rFonts w:eastAsia="Times New Roman" w:cs="Times New Roman"/>
          <w:lang w:eastAsia="es-ES"/>
        </w:rPr>
        <w:t>stove</w:t>
      </w:r>
      <w:proofErr w:type="spellEnd"/>
      <w:r w:rsidRPr="0003158E">
        <w:rPr>
          <w:rFonts w:eastAsia="Times New Roman" w:cs="Times New Roman"/>
          <w:lang w:eastAsia="es-ES"/>
        </w:rPr>
        <w:t xml:space="preserve">) AND pellet* AND </w:t>
      </w:r>
      <w:proofErr w:type="spellStart"/>
      <w:r w:rsidRPr="0003158E">
        <w:rPr>
          <w:rFonts w:eastAsia="Times New Roman" w:cs="Times New Roman"/>
          <w:lang w:eastAsia="es-ES"/>
        </w:rPr>
        <w:t>small</w:t>
      </w:r>
      <w:proofErr w:type="spellEnd"/>
      <w:r w:rsidRPr="0003158E">
        <w:rPr>
          <w:rFonts w:eastAsia="Times New Roman" w:cs="Times New Roman"/>
          <w:lang w:eastAsia="es-ES"/>
        </w:rPr>
        <w:t xml:space="preserve"> </w:t>
      </w:r>
      <w:proofErr w:type="spellStart"/>
      <w:r w:rsidRPr="0003158E">
        <w:rPr>
          <w:rFonts w:eastAsia="Times New Roman" w:cs="Times New Roman"/>
          <w:lang w:eastAsia="es-ES"/>
        </w:rPr>
        <w:t>scale</w:t>
      </w:r>
      <w:proofErr w:type="spellEnd"/>
      <w:r w:rsidRPr="0003158E">
        <w:rPr>
          <w:rFonts w:eastAsia="Times New Roman" w:cs="Times New Roman"/>
          <w:lang w:eastAsia="es-ES"/>
        </w:rPr>
        <w:t xml:space="preserve">”, la cual entrega documentos relacionados con quemadores de biomasa densificada. Posteriormente se hace una descarga de los metadatos incluyendo las referencias citadas, información que sólo puede ser extraída de motores de búsqueda como </w:t>
      </w:r>
      <w:proofErr w:type="spellStart"/>
      <w:r w:rsidRPr="0003158E">
        <w:rPr>
          <w:rFonts w:eastAsia="Times New Roman" w:cs="Times New Roman"/>
          <w:lang w:eastAsia="es-ES"/>
        </w:rPr>
        <w:t>WoS</w:t>
      </w:r>
      <w:proofErr w:type="spellEnd"/>
      <w:r w:rsidRPr="0003158E">
        <w:rPr>
          <w:rFonts w:eastAsia="Times New Roman" w:cs="Times New Roman"/>
          <w:lang w:eastAsia="es-ES"/>
        </w:rPr>
        <w:t xml:space="preserve"> y </w:t>
      </w:r>
      <w:proofErr w:type="spellStart"/>
      <w:r w:rsidRPr="0003158E">
        <w:rPr>
          <w:rFonts w:eastAsia="Times New Roman" w:cs="Times New Roman"/>
          <w:lang w:eastAsia="es-ES"/>
        </w:rPr>
        <w:t>Scopus</w:t>
      </w:r>
      <w:proofErr w:type="spellEnd"/>
      <w:r w:rsidRPr="0003158E">
        <w:rPr>
          <w:rFonts w:eastAsia="Times New Roman" w:cs="Times New Roman"/>
          <w:lang w:eastAsia="es-ES"/>
        </w:rPr>
        <w:t>.</w:t>
      </w:r>
    </w:p>
    <w:p w14:paraId="683F8640" w14:textId="77777777" w:rsidR="0003158E" w:rsidRPr="0003158E" w:rsidRDefault="0003158E" w:rsidP="00CE34E8">
      <w:pPr>
        <w:rPr>
          <w:rFonts w:eastAsia="Times New Roman" w:cs="Times New Roman"/>
          <w:lang w:eastAsia="es-ES"/>
        </w:rPr>
      </w:pPr>
    </w:p>
    <w:p w14:paraId="1E459E2A" w14:textId="77777777" w:rsidR="00CE34E8" w:rsidRDefault="00CE34E8" w:rsidP="00CE34E8">
      <w:pPr>
        <w:rPr>
          <w:rFonts w:eastAsia="Times New Roman" w:cs="Times New Roman"/>
          <w:lang w:eastAsia="es-ES"/>
        </w:rPr>
      </w:pPr>
      <w:r w:rsidRPr="0003158E">
        <w:rPr>
          <w:rFonts w:eastAsia="Times New Roman" w:cs="Times New Roman"/>
          <w:lang w:eastAsia="es-ES"/>
        </w:rPr>
        <w:t>Los resultados obtenidos en esta búsqueda establecen una base documental de 206 elementos entre artículos científicos, revisiones, capítulos de libro, entre otros. Para tener una visión general de los temas tratados en este conjunto de datos se realiza una red de palabras claves como se observa a continuación.</w:t>
      </w:r>
    </w:p>
    <w:p w14:paraId="114C32DC" w14:textId="77777777" w:rsidR="003865C9" w:rsidRDefault="003865C9" w:rsidP="00CE34E8">
      <w:pPr>
        <w:rPr>
          <w:rFonts w:eastAsia="Times New Roman" w:cs="Times New Roman"/>
          <w:lang w:eastAsia="es-ES"/>
        </w:rPr>
      </w:pPr>
    </w:p>
    <w:p w14:paraId="3347CE0E" w14:textId="77777777" w:rsidR="003865C9" w:rsidRDefault="003865C9" w:rsidP="00CE34E8">
      <w:pPr>
        <w:rPr>
          <w:rFonts w:eastAsia="Times New Roman" w:cs="Times New Roman"/>
          <w:lang w:eastAsia="es-ES"/>
        </w:rPr>
      </w:pPr>
    </w:p>
    <w:p w14:paraId="64B8C866" w14:textId="77777777" w:rsidR="003865C9" w:rsidRDefault="003865C9" w:rsidP="00CE34E8">
      <w:pPr>
        <w:rPr>
          <w:rFonts w:eastAsia="Times New Roman" w:cs="Times New Roman"/>
          <w:lang w:eastAsia="es-ES"/>
        </w:rPr>
      </w:pPr>
    </w:p>
    <w:p w14:paraId="1FECDEAD" w14:textId="77777777" w:rsidR="003865C9" w:rsidRDefault="003865C9" w:rsidP="00CE34E8">
      <w:pPr>
        <w:rPr>
          <w:rFonts w:eastAsia="Times New Roman" w:cs="Times New Roman"/>
          <w:lang w:eastAsia="es-ES"/>
        </w:rPr>
      </w:pPr>
    </w:p>
    <w:p w14:paraId="5D2762B8" w14:textId="77777777" w:rsidR="003865C9" w:rsidRDefault="003865C9" w:rsidP="00CE34E8">
      <w:pPr>
        <w:rPr>
          <w:rFonts w:eastAsia="Times New Roman" w:cs="Times New Roman"/>
          <w:lang w:eastAsia="es-ES"/>
        </w:rPr>
      </w:pPr>
    </w:p>
    <w:p w14:paraId="4B031ECF" w14:textId="77777777" w:rsidR="003865C9" w:rsidRDefault="003865C9" w:rsidP="00CE34E8">
      <w:pPr>
        <w:rPr>
          <w:rFonts w:eastAsia="Times New Roman" w:cs="Times New Roman"/>
          <w:lang w:eastAsia="es-ES"/>
        </w:rPr>
      </w:pPr>
    </w:p>
    <w:p w14:paraId="51C1CF9A" w14:textId="77777777" w:rsidR="003865C9" w:rsidRDefault="003865C9" w:rsidP="00CE34E8">
      <w:pPr>
        <w:rPr>
          <w:rFonts w:eastAsia="Times New Roman" w:cs="Times New Roman"/>
          <w:lang w:eastAsia="es-ES"/>
        </w:rPr>
      </w:pPr>
    </w:p>
    <w:p w14:paraId="13463013" w14:textId="77777777" w:rsidR="003865C9" w:rsidRPr="0003158E" w:rsidRDefault="003865C9" w:rsidP="00CE34E8">
      <w:pPr>
        <w:rPr>
          <w:rFonts w:eastAsia="Times New Roman" w:cs="Times New Roman"/>
          <w:lang w:eastAsia="es-ES"/>
        </w:rPr>
      </w:pPr>
    </w:p>
    <w:p w14:paraId="6FD17FB5" w14:textId="77777777" w:rsidR="00CE34E8" w:rsidRPr="00CE34E8" w:rsidRDefault="00CE34E8" w:rsidP="00CE34E8">
      <w:pPr>
        <w:rPr>
          <w:rFonts w:ascii="Arial" w:eastAsia="Times New Roman" w:hAnsi="Arial" w:cs="Times New Roman"/>
          <w:sz w:val="18"/>
          <w:szCs w:val="24"/>
          <w:lang w:eastAsia="es-ES"/>
        </w:rPr>
      </w:pPr>
    </w:p>
    <w:p w14:paraId="531D2369" w14:textId="77777777" w:rsidR="00CE34E8" w:rsidRPr="003865C9" w:rsidRDefault="00CE34E8" w:rsidP="00CE34E8">
      <w:pPr>
        <w:jc w:val="center"/>
        <w:rPr>
          <w:rFonts w:eastAsia="Times New Roman" w:cs="Times New Roman"/>
          <w:iCs/>
          <w:lang w:val="es-ES" w:eastAsia="es-ES"/>
        </w:rPr>
      </w:pPr>
      <w:bookmarkStart w:id="0" w:name="_Toc101276580"/>
      <w:r w:rsidRPr="003865C9">
        <w:rPr>
          <w:rFonts w:eastAsia="Times New Roman" w:cs="Times New Roman"/>
          <w:iCs/>
          <w:lang w:val="es-ES" w:eastAsia="es-ES"/>
        </w:rPr>
        <w:lastRenderedPageBreak/>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w:t>
      </w:r>
      <w:r w:rsidRPr="003865C9">
        <w:rPr>
          <w:rFonts w:eastAsia="Times New Roman" w:cs="Times New Roman"/>
          <w:lang w:val="es-ES" w:eastAsia="es-ES"/>
        </w:rPr>
        <w:fldChar w:fldCharType="end"/>
      </w:r>
      <w:r w:rsidRPr="003865C9">
        <w:rPr>
          <w:rFonts w:eastAsia="Times New Roman" w:cs="Times New Roman"/>
          <w:iCs/>
          <w:lang w:val="es-ES" w:eastAsia="es-ES"/>
        </w:rPr>
        <w:t>. Red de palabras claves</w:t>
      </w:r>
      <w:bookmarkEnd w:id="0"/>
    </w:p>
    <w:p w14:paraId="1FE45920" w14:textId="77777777" w:rsidR="00CE34E8" w:rsidRPr="00CE34E8" w:rsidRDefault="00CE34E8" w:rsidP="00CE34E8">
      <w:pPr>
        <w:rPr>
          <w:rFonts w:ascii="Arial" w:eastAsia="Times New Roman" w:hAnsi="Arial" w:cs="Times New Roman"/>
          <w:sz w:val="18"/>
          <w:szCs w:val="24"/>
          <w:lang w:val="es-ES" w:eastAsia="es-ES"/>
        </w:rPr>
      </w:pPr>
      <w:r w:rsidRPr="00CE34E8">
        <w:rPr>
          <w:rFonts w:ascii="Arial" w:eastAsia="Times New Roman" w:hAnsi="Arial" w:cs="Times New Roman"/>
          <w:noProof/>
          <w:sz w:val="18"/>
          <w:szCs w:val="24"/>
          <w:lang w:eastAsia="es-CO"/>
        </w:rPr>
        <w:drawing>
          <wp:inline distT="0" distB="0" distL="0" distR="0" wp14:anchorId="0EF144BC" wp14:editId="19FAA0A7">
            <wp:extent cx="2767054" cy="2262413"/>
            <wp:effectExtent l="0" t="0" r="0" b="508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rotWithShape="1">
                    <a:blip r:embed="rId12"/>
                    <a:srcRect l="3361" r="7282"/>
                    <a:stretch/>
                  </pic:blipFill>
                  <pic:spPr bwMode="auto">
                    <a:xfrm>
                      <a:off x="0" y="0"/>
                      <a:ext cx="2778720" cy="2271952"/>
                    </a:xfrm>
                    <a:prstGeom prst="rect">
                      <a:avLst/>
                    </a:prstGeom>
                    <a:ln>
                      <a:noFill/>
                    </a:ln>
                    <a:extLst>
                      <a:ext uri="{53640926-AAD7-44D8-BBD7-CCE9431645EC}">
                        <a14:shadowObscured xmlns:a14="http://schemas.microsoft.com/office/drawing/2010/main"/>
                      </a:ext>
                    </a:extLst>
                  </pic:spPr>
                </pic:pic>
              </a:graphicData>
            </a:graphic>
          </wp:inline>
        </w:drawing>
      </w:r>
    </w:p>
    <w:p w14:paraId="163BDC45" w14:textId="14CA9967" w:rsidR="00CE34E8" w:rsidRPr="003865C9" w:rsidRDefault="00CE34E8" w:rsidP="00CE34E8">
      <w:pPr>
        <w:jc w:val="center"/>
        <w:rPr>
          <w:rFonts w:eastAsia="Times New Roman" w:cs="Times New Roman"/>
          <w:iCs/>
          <w:lang w:val="es-ES" w:eastAsia="es-ES"/>
        </w:rPr>
      </w:pPr>
      <w:r w:rsidRPr="003865C9">
        <w:rPr>
          <w:rFonts w:eastAsia="Times New Roman" w:cs="Times New Roman"/>
          <w:iCs/>
          <w:lang w:val="es-ES" w:eastAsia="es-ES"/>
        </w:rPr>
        <w:t xml:space="preserve">Fuente. </w:t>
      </w:r>
      <w:r w:rsidR="003865C9">
        <w:rPr>
          <w:rFonts w:eastAsia="Times New Roman" w:cs="Times New Roman"/>
          <w:iCs/>
          <w:lang w:val="es-ES" w:eastAsia="es-ES"/>
        </w:rPr>
        <w:t>Elaboración propia</w:t>
      </w:r>
    </w:p>
    <w:p w14:paraId="0D4B9791" w14:textId="77777777" w:rsidR="003865C9" w:rsidRPr="00CE34E8" w:rsidRDefault="003865C9" w:rsidP="00CE34E8">
      <w:pPr>
        <w:jc w:val="center"/>
        <w:rPr>
          <w:rFonts w:ascii="Arial" w:eastAsia="Times New Roman" w:hAnsi="Arial" w:cs="Times New Roman"/>
          <w:i/>
          <w:iCs/>
          <w:sz w:val="18"/>
          <w:szCs w:val="24"/>
          <w:lang w:val="es-ES" w:eastAsia="es-ES"/>
        </w:rPr>
      </w:pPr>
    </w:p>
    <w:p w14:paraId="117E0D06"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t>Los sistemas de combustión a pequeña escala son los de mayor interés para implementaciones de prototipos e investigaciones de laboratorio. Por otro lado las palabras claves muestran los temas abordados por los diferentes investigadores, centrados en el análisis de las partículas emitidas, la eficiencia y optimización de los sistemas para el aprovechamiento del calor generado.</w:t>
      </w:r>
    </w:p>
    <w:p w14:paraId="3B6BCA40" w14:textId="77777777" w:rsidR="003865C9" w:rsidRPr="003865C9" w:rsidRDefault="003865C9" w:rsidP="00CE34E8">
      <w:pPr>
        <w:rPr>
          <w:rFonts w:eastAsia="Times New Roman" w:cs="Times New Roman"/>
          <w:lang w:val="es-ES" w:eastAsia="es-ES"/>
        </w:rPr>
      </w:pPr>
    </w:p>
    <w:p w14:paraId="2BC65D5F"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Con esta metodología es posible generar una red de acoplamiento bibliográfico que puede mostrar bajo una relación de citaciones aquellos documentos que tienen mayor impacto dentro del desarrollo de quemadores de pellets, la cual se muestra a continuación.</w:t>
      </w:r>
    </w:p>
    <w:p w14:paraId="73F8D635" w14:textId="77777777" w:rsidR="00CE34E8" w:rsidRPr="00CE34E8" w:rsidRDefault="00CE34E8" w:rsidP="00CE34E8">
      <w:pPr>
        <w:rPr>
          <w:rFonts w:ascii="Arial" w:eastAsia="Times New Roman" w:hAnsi="Arial" w:cs="Times New Roman"/>
          <w:sz w:val="18"/>
          <w:szCs w:val="24"/>
          <w:lang w:val="es-ES" w:eastAsia="es-ES"/>
        </w:rPr>
      </w:pPr>
    </w:p>
    <w:p w14:paraId="2C3EA125" w14:textId="77777777" w:rsidR="00CE34E8" w:rsidRPr="003865C9" w:rsidRDefault="00CE34E8" w:rsidP="00CE34E8">
      <w:pPr>
        <w:jc w:val="center"/>
        <w:rPr>
          <w:rFonts w:eastAsia="Times New Roman" w:cs="Times New Roman"/>
          <w:iCs/>
          <w:lang w:val="es-ES" w:eastAsia="es-ES"/>
        </w:rPr>
      </w:pPr>
      <w:bookmarkStart w:id="1" w:name="_Toc101276581"/>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2</w:t>
      </w:r>
      <w:r w:rsidRPr="003865C9">
        <w:rPr>
          <w:rFonts w:eastAsia="Times New Roman" w:cs="Times New Roman"/>
          <w:lang w:val="es-ES" w:eastAsia="es-ES"/>
        </w:rPr>
        <w:fldChar w:fldCharType="end"/>
      </w:r>
      <w:r w:rsidRPr="003865C9">
        <w:rPr>
          <w:rFonts w:eastAsia="Times New Roman" w:cs="Times New Roman"/>
          <w:iCs/>
          <w:lang w:val="es-ES" w:eastAsia="es-ES"/>
        </w:rPr>
        <w:t>. Red de acoplamiento</w:t>
      </w:r>
      <w:bookmarkEnd w:id="1"/>
    </w:p>
    <w:p w14:paraId="79B8E5E0" w14:textId="77777777" w:rsidR="00CE34E8" w:rsidRPr="003865C9" w:rsidRDefault="00CE34E8" w:rsidP="00CE34E8">
      <w:pPr>
        <w:jc w:val="center"/>
        <w:rPr>
          <w:rFonts w:eastAsia="Times New Roman" w:cs="Times New Roman"/>
          <w:lang w:val="es-ES" w:eastAsia="es-ES"/>
        </w:rPr>
      </w:pPr>
      <w:r w:rsidRPr="003865C9">
        <w:rPr>
          <w:rFonts w:eastAsia="Times New Roman" w:cs="Times New Roman"/>
          <w:noProof/>
          <w:lang w:eastAsia="es-CO"/>
        </w:rPr>
        <w:drawing>
          <wp:inline distT="0" distB="0" distL="0" distR="0" wp14:anchorId="20781ED7" wp14:editId="3B43E25E">
            <wp:extent cx="2819106" cy="2333625"/>
            <wp:effectExtent l="0" t="0" r="0" b="0"/>
            <wp:docPr id="3" name="Imagen 3" descr="Gráfico, Mapa,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Mapa, Gráfico de burbujas&#10;&#10;Descripción generada automáticamente"/>
                    <pic:cNvPicPr/>
                  </pic:nvPicPr>
                  <pic:blipFill>
                    <a:blip r:embed="rId13"/>
                    <a:stretch>
                      <a:fillRect/>
                    </a:stretch>
                  </pic:blipFill>
                  <pic:spPr>
                    <a:xfrm>
                      <a:off x="0" y="0"/>
                      <a:ext cx="2823827" cy="2337533"/>
                    </a:xfrm>
                    <a:prstGeom prst="rect">
                      <a:avLst/>
                    </a:prstGeom>
                  </pic:spPr>
                </pic:pic>
              </a:graphicData>
            </a:graphic>
          </wp:inline>
        </w:drawing>
      </w:r>
    </w:p>
    <w:p w14:paraId="12513BCA"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4A2B575D" w14:textId="77777777" w:rsidR="006173B6" w:rsidRPr="003865C9" w:rsidRDefault="006173B6" w:rsidP="00CE34E8">
      <w:pPr>
        <w:jc w:val="center"/>
        <w:rPr>
          <w:rFonts w:eastAsia="Times New Roman" w:cs="Times New Roman"/>
          <w:i/>
          <w:iCs/>
          <w:lang w:val="es-ES" w:eastAsia="es-ES"/>
        </w:rPr>
      </w:pPr>
    </w:p>
    <w:p w14:paraId="4FF93A28" w14:textId="4080E148"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 xml:space="preserve">En esta se pueden relacionar dos factores de gran importancia, cada nodo es un documento y el tamaño de cada uno es el número de citaciones recibidas; los vínculos generados entre ellos al citarse crean una centralidad de aquellos que tienen mayor relación y fortaleza con los demás. Un ejemplo de esto es la </w:t>
      </w:r>
      <w:r w:rsidRPr="003865C9">
        <w:rPr>
          <w:rFonts w:eastAsia="Times New Roman" w:cs="Times New Roman"/>
          <w:lang w:val="es-ES" w:eastAsia="es-ES"/>
        </w:rPr>
        <w:lastRenderedPageBreak/>
        <w:t xml:space="preserve">publicación realizada por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{"citationItems":[{"id":"ITEM-1","itemData":{"DOI":"10.1016/j.rser.2015.04.090","ISSN":"18790690","abstract":"Energy from biomass is becoming increasingly important as fossil fuel reserves diminish. The utilization of biomass is already prevalent in the domestic heating sector, but produces significant amounts of particulates that are detrimental to human health. Mitigation technologies are well-developed for large-scale applications, but that is not the case at domestic scale. This review evaluates the various technologies that are available for mitigation of emissions from domestic combustion. Various other technologies are presented too, including those from the vehicular emissions field. The most common methods are the use of additives and catalysts, but both techniques are of limited effectiveness. The most notable technology is probably small scale electrostatic precipitators (ESP) which are under development and have been shown to be effective in reducing emissions. The effectiveness of mitigation technologies needs to be evaluated accurately through reliable particulate sampling methods. Some sampling methods can produce misleadingly low particulate emissions, indicating that mitigation technologies are not required, when this is not the case. Therefore, this paper also reviews the advantages and limits of different particulate sampling methods. Currently, different methods are used and most emissions are reported in terms of mass concentrations, which may not include the contribution from ultrafine particles. In particular, dilution sampling significantly affects particle emissions by promoting nucleation and condensation of volatile organic compounds. The resulting effect is an increase in formation of ultrafine particulates that are smaller in size, which are better represented by particle number measurements. However, varying methods and degrees of dilution are reported in the literature. The reporting of the particulate emissions (either in number or mass concentrations) is also too varied in its units, making comparison of emissions difficult. Thus, particulate sampling (and dilution) methods need to be standardized, as has been the case in vehicular emissions.","author":[{"dropping-particle":"","family":"Lim","given":"Mook Tzeng","non-dropping-particle":"","parse-names":false,"suffix":""},{"dropping-particle":"","family":"Phan","given":"Anh","non-dropping-particle":"","parse-names":false,"suffix":""},{"dropping-particle":"","family":"Roddy","given":"Dermot","non-dropping-particle":"","parse-names":false,"suffix":""},{"dropping-particle":"","family":"Harvey","given":"Adam","non-dropping-particle":"","parse-names":false,"suffix":""}],"container-title":"Renewable and Sustainable Energy Reviews","id":"ITEM-1","issued":{"date-parts":[["2015"]]},"page":"574-584","publisher":"Elsevier","title":"Technologies for measurement and mitigation of particulate emissions from domestic combustion of biomass: A review","type":"article-journal","volume":"49"},"uris":["http://www.mendeley.com/documents/?uuid=c2231c78-0211-4245-ba1c-299ef913cb64","http://www.mendeley.com/documents/?uuid=3e602d06-531d-48c3-b6fe-6af065e0da08"]}],"mendeley":{"formattedCitation":"[2]","plainTextFormattedCitation":"[2]","previouslyFormattedCitation":"(Lim, Phan, Roddy, &amp; Harvey, 2015)"},"properties":{"noteIndex":0},"schema":"https://github.com/citation-style-language/schema/raw/master/csl-citation.json"}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[2]</w:t>
      </w:r>
      <w:r w:rsidRPr="003865C9">
        <w:rPr>
          <w:rFonts w:eastAsia="Times New Roman" w:cs="Times New Roman"/>
          <w:lang w:val="es-ES" w:eastAsia="es-ES"/>
        </w:rPr>
        <w:fldChar w:fldCharType="end"/>
      </w:r>
      <w:r w:rsidRPr="003865C9">
        <w:rPr>
          <w:rFonts w:eastAsia="Times New Roman" w:cs="Times New Roman"/>
          <w:lang w:val="es-ES" w:eastAsia="es-ES"/>
        </w:rPr>
        <w:t xml:space="preserve"> que una revisión donde se evalúa las diversas tecnologías que están disponibles para la mitigación de las emisiones de la combustión doméstica. También se presentan otras tecnologías, incluidas las del campo de las emisiones vehiculares. Los métodos más comunes son el uso de aditivos y catalizadores, pero ambas técnicas son de efectividad limitada. La tecnología más notable son probablemente los </w:t>
      </w:r>
      <w:proofErr w:type="spellStart"/>
      <w:r w:rsidRPr="003865C9">
        <w:rPr>
          <w:rFonts w:eastAsia="Times New Roman" w:cs="Times New Roman"/>
          <w:lang w:val="es-ES" w:eastAsia="es-ES"/>
        </w:rPr>
        <w:t>precipitadores</w:t>
      </w:r>
      <w:proofErr w:type="spellEnd"/>
      <w:r w:rsidRPr="003865C9">
        <w:rPr>
          <w:rFonts w:eastAsia="Times New Roman" w:cs="Times New Roman"/>
          <w:lang w:val="es-ES" w:eastAsia="es-ES"/>
        </w:rPr>
        <w:t xml:space="preserve"> electrostáticos (PE) a pequeña escala que están en desarrollo y han demostrado ser efectivos para reducir las emisiones.</w:t>
      </w:r>
    </w:p>
    <w:p w14:paraId="2738F0BE" w14:textId="02478E86" w:rsidR="00CE34E8" w:rsidRDefault="00CE34E8" w:rsidP="00CE34E8">
      <w:pPr>
        <w:rPr>
          <w:rFonts w:eastAsia="Times New Roman" w:cs="Times New Roman"/>
          <w:lang w:val="es-ES" w:eastAsia="es-ES"/>
        </w:rPr>
      </w:pPr>
      <w:r w:rsidRPr="003865C9">
        <w:rPr>
          <w:rFonts w:eastAsia="Times New Roman" w:cs="Times New Roman"/>
          <w:lang w:val="es-ES" w:eastAsia="es-ES"/>
        </w:rPr>
        <w:t xml:space="preserve">Otro documento de alto impacto y de una publicación más reciente es el realizado por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{"citationItems":[{"id":"ITEM-1","itemData":{"DOI":"https://doi.org/10.1016/j.rser.2020.110113","ISSN":"1364-0321","abstract":"In order to fulfill the European Union's climate and energy goals, the heating and cooling sector must cut its use of fossil fuels. Solid biomass can constitute an alternative to fossil fuels as a renewable and carbon-neutral source of energy but there are some aspects to biomass combustion in small-scale domestic appliances that can compromise the environmental sustainability of this renewable energy source in terms of burden on air quality. The priority pollutants in this respect are particulate matter and nitrogen oxides. While particulate matter emissions are often discussed, nitrogen oxides emissions from domestic heating appliances are relatively less in the center of attention. The aim of the present study is to review the literature regarding the nitrogen oxides emissions from this emission source discussing the main formation mechanisms and the state-of-the-art control techniques, as well as the influence of fuel composition (especially fuel bound nitrogen), heating appliance type and operating conditions with the help of the gathered experimental emission factors data. The review crosslinks several aspects usually treated separately in scientific papers (e.g., only laboratory tests with basic theory or only field tests on emission levels etc.), providing thus a quick reference tool to the state-of-the-art knowledge on this topic.","author":[{"dropping-particle":"","family":"Ozgen","given":"S","non-dropping-particle":"","parse-names":false,"suffix":""},{"dropping-particle":"","family":"Cernuschi","given":"S","non-dropping-particle":"","parse-names":false,"suffix":""},{"dropping-particle":"","family":"Caserini","given":"S","non-dropping-particle":"","parse-names":false,"suffix":""}],"container-title":"Renewable and Sustainable Energy Reviews","id":"ITEM-1","issued":{"date-parts":[["2021"]]},"page":"110113","title":"An overview of nitrogen oxides emissions from biomass combustion for domestic heat production","type":"article-journal","volume":"135"},"uris":["http://www.mendeley.com/documents/?uuid=b1bc9c11-df2d-4917-a3b1-ac51bae15958","http://www.mendeley.com/documents/?uuid=b879349d-7d41-48a4-9adb-fa30f72aa1f2"]}],"mendeley":{"formattedCitation":"[1]","plainTextFormattedCitation":"[1]","previouslyFormattedCitation":"(Ozgen et al., 2021)"},"properties":{"noteIndex":0},"schema":"https://github.com/citation-style-language/schema/raw/master/csl-citation.json"}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w:t>
      </w:r>
      <w:r w:rsidRPr="003865C9">
        <w:rPr>
          <w:rFonts w:eastAsia="Times New Roman" w:cs="Times New Roman"/>
          <w:lang w:val="es-ES" w:eastAsia="es-ES"/>
        </w:rPr>
        <w:fldChar w:fldCharType="end"/>
      </w:r>
      <w:r w:rsidRPr="003865C9">
        <w:rPr>
          <w:rFonts w:eastAsia="Times New Roman" w:cs="Times New Roman"/>
          <w:lang w:val="es-ES" w:eastAsia="es-ES"/>
        </w:rPr>
        <w:t xml:space="preserve">, los investigadores realizan una revisión exhaustiva sobre las emisiones de </w:t>
      </w:r>
      <w:proofErr w:type="spellStart"/>
      <w:r w:rsidRPr="003865C9">
        <w:rPr>
          <w:rFonts w:eastAsia="Times New Roman" w:cs="Times New Roman"/>
          <w:lang w:val="es-ES" w:eastAsia="es-ES"/>
        </w:rPr>
        <w:t>oxido</w:t>
      </w:r>
      <w:proofErr w:type="spellEnd"/>
      <w:r w:rsidRPr="003865C9">
        <w:rPr>
          <w:rFonts w:eastAsia="Times New Roman" w:cs="Times New Roman"/>
          <w:lang w:val="es-ES" w:eastAsia="es-ES"/>
        </w:rPr>
        <w:t xml:space="preserve"> nitrógeno en la combustión de biomasa para calentadores domésticos. Dando continuidad a este mecanismo de revisión sistemática se explora la bibliografía con el propósito de establecer parámetros específicos de funcionamiento de quemadores a pequeña escala que permitan el diseño y construcción de una cámara de combustión de pellets para procesos de calor.</w:t>
      </w:r>
    </w:p>
    <w:p w14:paraId="6A4091EE" w14:textId="77777777" w:rsidR="006173B6" w:rsidRPr="003865C9" w:rsidRDefault="006173B6" w:rsidP="00CE34E8">
      <w:pPr>
        <w:rPr>
          <w:rFonts w:eastAsia="Times New Roman" w:cs="Times New Roman"/>
          <w:lang w:val="es-ES" w:eastAsia="es-ES"/>
        </w:rPr>
      </w:pPr>
    </w:p>
    <w:p w14:paraId="4E786531" w14:textId="442B54B4"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 xml:space="preserve">Con base en documentos que han expuesto información sobre sistemas de combustión y sus principales componentes </w:t>
      </w:r>
      <w:r w:rsidRPr="003865C9">
        <w:rPr>
          <w:rFonts w:eastAsia="Times New Roman" w:cs="Times New Roman"/>
          <w:lang w:eastAsia="es-ES"/>
        </w:rPr>
        <w:fldChar w:fldCharType="begin" w:fldLock="1"/>
      </w:r>
      <w:r w:rsidR="00806391" w:rsidRPr="003865C9">
        <w:rPr>
          <w:rFonts w:eastAsia="Times New Roman" w:cs="Times New Roman"/>
          <w:lang w:eastAsia="es-ES"/>
        </w:rPr>
        <w:instrText>ADDIN CSL_CITATION {"citationItems":[{"id":"ITEM-1","itemData":{"DOI":"10.1016/j.biosystemseng.2013.01.009","ISSN":"15375110","abstract":"Alternative biomass feedstocks will be required in order to meet renewable energy targets, yet it is imperative that the production of renewable energy from biomass must be environmentally benign. Thus, it is important that emissions from biomass combustion must be low. Pellets of six different biomass types; wood, willow, miscanthus, wheat straw, barley straw and rape straw, were combusted in a 35 kW tilting grate biomass boiler and carbon monoxide (CO), sulphur dioxide (SO2) and nitrogen oxides (NOx) as well as total solid particulate (TSP) emissions were monitored. Emissions from wood combustion were relatively low (25, 142, 4.6, 28 mg Nm-3 for CO, NOx, SO2 and TSP respectively) whereas emission from the combustion of straw pellets was considerably higher. Rape straw pellets produced the highest levels of emissions (230, 339, 59.8 and 325 mg Nm-3 for CO, NOx, SO2 and TSP). There was a relationship between the magnitude of TSP, NOx and SO2 emissions and the concentrations of ash, nitrogen and sulphur in the fuel respectively. The combustion of pellets made from wood, willow or miscanthus would meet current emission standards but the use of cereal or rape straw pellets would require the employment of emissions abatement measures or more advanced boiler design in order to meet emission standards. The use of mitigation measures and/or advances in boiler design should allow pellets made from agricultural residues and energy crops to make a significant contribution to the generation of renewable energy. © 2013 IAgrE.","author":[{"dropping-particle":"","family":"Carroll","given":"John","non-dropping-particle":"","parse-names":false,"suffix":""},{"dropping-particle":"","family":"Finnan","given":"John","non-dropping-particle":"","parse-names":false,"suffix":""}],"container-title":"Biosystems Engineering","id":"ITEM-1","issue":"1","issued":{"date-parts":[["2013"]]},"page":"50-55","publisher":"IAgrE","title":"Emissions and efficiencies from the combustion of agricultural feedstock pellets using a small scale tilting grate boiler","type":"article-journal","volume":"115"},"uris":["http://www.mendeley.com/documents/?uuid=1e4c981e-4718-40c0-a4c9-3d981c8c2e7f","http://www.mendeley.com/documents/?uuid=662752d8-3a92-4e47-b693-b73671eb4d5d"]}],"mendeley":{"formattedCitation":"[3]","plainTextFormattedCitation":"[3]","previouslyFormattedCitation":"(Carroll &amp; Finnan, 2013)"},"properties":{"noteIndex":0},"schema":"https://github.com/citation-style-language/schema/raw/master/csl-citation.json"}</w:instrText>
      </w:r>
      <w:r w:rsidRPr="003865C9">
        <w:rPr>
          <w:rFonts w:eastAsia="Times New Roman" w:cs="Times New Roman"/>
          <w:lang w:eastAsia="es-ES"/>
        </w:rPr>
        <w:fldChar w:fldCharType="separate"/>
      </w:r>
      <w:r w:rsidR="00806391" w:rsidRPr="003865C9">
        <w:rPr>
          <w:rFonts w:eastAsia="Times New Roman" w:cs="Times New Roman"/>
          <w:noProof/>
          <w:lang w:eastAsia="es-ES"/>
        </w:rPr>
        <w:t>[3]</w:t>
      </w:r>
      <w:r w:rsidRPr="003865C9">
        <w:rPr>
          <w:rFonts w:eastAsia="Times New Roman" w:cs="Times New Roman"/>
          <w:lang w:val="es-ES" w:eastAsia="es-ES"/>
        </w:rPr>
        <w:fldChar w:fldCharType="end"/>
      </w:r>
      <w:r w:rsidRPr="003865C9">
        <w:rPr>
          <w:rFonts w:eastAsia="Times New Roman" w:cs="Times New Roman"/>
          <w:lang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eastAsia="es-ES"/>
        </w:rPr>
        <w:instrText>ADDIN CSL_CITATION {"citationItems":[{"id":"ITEM-1","itemData":{"DOI":"10.1021/ef402149j","ISSN":"0887-0624","author":[{"dropping-particle":"","family":"Örberg","given":"Håkan","non-dropping-particle":"","parse-names":false,"suffix":""},{"dropping-particle":"","family":"Jansson","given":"Stina","non-dropping-particle":"","parse-names":false,"suffix":""},{"dropping-particle":"","family":"Kalén","given":"Gunnar","non-dropping-particle":"","parse-names":false,"suffix":""},{"dropping-particle":"","family":"Thyrel","given":"Mikael","non-dropping-particle":"","parse-names":false,"suffix":""},{"dropping-particle":"","family":"Xiong","given":"Shaojun","non-dropping-particle":"","parse-names":false,"suffix":""}],"container-title":"Energy &amp; Fuels","id":"ITEM-1","issue":"2","issued":{"date-parts":[["2014","2"]]},"page":"1103-1110","publisher":"American Chemical Society","title":"Combustion and Slagging Behavior of Biomass Pellets Using a Burner Cup Developed for Ash-Rich Fuels","type":"article-journal","volume":"28"},"uris":["http://www.mendeley.com/documents/?uuid=9a027f1d-e725-4b49-ab78-d559bf9d5b25","http://www.mendeley.com/documents/?uuid=b10d3506-6fc2-425f-9b7a-49376e2ba424"]}],"mendeley":{"formattedCitation":"[4]","plainTextFormattedCitation":"[4]","previouslyFormattedCitation":"(Örberg, Jansson, Kalén, Thyrel, &amp; Xiong, 2014)"},"properties":{"noteIndex":0},"schema":"https://github.com/citation-style-language/schema/raw/master/csl-citation.json"}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n-US" w:eastAsia="es-ES"/>
        </w:rPr>
        <w:t>[4]</w:t>
      </w:r>
      <w:r w:rsidRPr="003865C9">
        <w:rPr>
          <w:rFonts w:eastAsia="Times New Roman" w:cs="Times New Roman"/>
          <w:lang w:val="es-ES" w:eastAsia="es-ES"/>
        </w:rPr>
        <w:fldChar w:fldCharType="end"/>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n-US" w:eastAsia="es-ES"/>
        </w:rPr>
        <w:instrText>ADDIN CSL_CITATION {"citationItems":[{"id":"ITEM-1","itemData":{"DOI":"10.1088/1742-6596/547/1/012017","ISSN":"17426596","abstract":"In recent years the consumption of wood pellets as energy source for residential heating lias increased, not only as fuel for stoves, but also for small-scale residential boilers that, produce hot water used for both space heating and domestic hot water. Reduction of fuel consumption and pollutant emissions (CO, dust., HC) is an obvious target of wood pellet boiler manufacturers, however they are also quite interested in producing low- maintenance appliances. The need of frequent maintenance turns in higher operating costs and inconvenience for the user, and in lower boiler efficiency and higher emissions also. The aim of this paper is to present a theoretical model able to simulate the dynamic behavior of a pellet boiler. The model takes into account many features of real pellet boilers. Furthermore, with this model, it is possible to pay more attention to the influence of the boiler control strategy. Control strategy evaluation is based not only on pellet consumption and on total emissions, but also on critical operating conditions such as start-up and stop or prolonged operation at substantially reduced power level. Results are obtained for a residential heating system based on a wood pellet boiler coupled with a thermal energy storage. Results obtained so far show a weak dependence of performance in terms of fuel consumption and total emissions on control strategy, however some control strategies present some critical issues regarding maintenance frequency.","author":[{"dropping-particle":"","family":"Petrocelli","given":"D.","non-dropping-particle":"","parse-names":false,"suffix":""},{"dropping-particle":"","family":"Lezzi","given":"A. M.","non-dropping-particle":"","parse-names":false,"suffix":""}],"container-title":"Journal of Physics: Conference Series","id":"ITEM-1","issue":"1","issued":{"date-parts":[["2014"]]},"title":"Modeling operation mode of pellet boilers for residential heating","type":"article-journal","volume":"547"},"uris":["http://www.mendeley.com/documents/?uuid=f28df958-3f16-4f3d-bf00-ff0a1e3cc7e9","http://www.mendeley.com/documents/?uuid=b2d9679b-f192-48a6-a51f-91acb43556b5"]}],"mendeley":{"formattedCitation":"[5]","plainTextFormattedCitation":"[5]","previouslyFormattedCitation":"(Petrocelli &amp; Lezzi, 2014)"},"properties":{"noteIndex":0},"schema":"https://github.com/citation-style-language/schema/raw/master/csl-citation.json"}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n-US" w:eastAsia="es-ES"/>
        </w:rPr>
        <w:t>[5]</w:t>
      </w:r>
      <w:r w:rsidRPr="003865C9">
        <w:rPr>
          <w:rFonts w:eastAsia="Times New Roman" w:cs="Times New Roman"/>
          <w:lang w:val="es-ES" w:eastAsia="es-ES"/>
        </w:rPr>
        <w:fldChar w:fldCharType="end"/>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n-US" w:eastAsia="es-ES"/>
        </w:rPr>
        <w:instrText>ADDIN CSL_CITATION {"citationItems":[{"id":"ITEM-1","itemData":{"DOI":"10.2298/TSCI150310082P","ISSN":"03549836","abstract":"Pellet stoves may play an important role in Serbia in the future when fossil fuel fired conventional heating appliances are replaced by more efficient and environmentally friendly devices. Experimental investigation was conducted in order to examine the influence of wood pellet quality, as well as burner capacity (6, 8, and 10 kW), used in the same stove configuration, on the performance of pellet stove with declared nameplate capacity of 8 kW. The results obtained showed that in case of nominal load and combustion of pellets recommended by the stove manufacturer, stove efficiency of 80.03% was achieved. The use of lower quality pellet caused additional 1.13 kW reduction in heat output in case of nominal load and 0.63 kW in case of reduced load. This was attributed to less favourable properties and lower bulk and particle density of lower quality pellet. The use of different burner capacity has shown to have little effect on heat output and efficiency of the stove when pre-set values in the control system of the stove were not altered. It is concluded that replacement of the burner only is not sufficient to increase/decrease the declared capacity of the same stove configuration, meaning that additional measures are necessary. These measures include a new set-up of the stove control system, which needs to be properly adjusted for each alteration in stove configuration. Without the adjustment mentioned, declared capacity of the stove cannot be altered, while its CO emission shall be considerably increased.","author":[{"dropping-particle":"","family":"Petrović Bećirović","given":"Sanja B.","non-dropping-particle":"","parse-names":false,"suffix":""},{"dropping-particle":"","family":"Manić","given":"Nebojša G.","non-dropping-particle":"","parse-names":false,"suffix":""},{"dropping-particle":"","family":"Stojiljković","given":"Dragoslava D.","non-dropping-particle":"","parse-names":false,"suffix":""}],"container-title":"Thermal Science","id":"ITEM-1","issue":"5","issued":{"date-parts":[["2015"]]},"page":"1855-1866","title":"Impact of fuel quality and burner capacity on the performance of wood pellet stove","type":"article-journal","volume":"19"},"uris":["http://www.mendeley.com/documents/?uuid=358df54e-80dd-4d64-8314-c54ce32ab81a","http://www.mendeley.com/documents/?uuid=5a743c82-a310-40a8-ae9e-9dc29e863876"]}],"mendeley":{"formattedCitation":"[6]","plainTextFormattedCitation":"[6]","previouslyFormattedCitation":"(Petrović Bećirović, Manić, &amp; Stojiljković, 2015)"},"properties":{"noteIndex":0},"schema":"https://github.com/citation-style-language/schema/raw/master/csl-citation.json"}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n-US" w:eastAsia="es-ES"/>
        </w:rPr>
        <w:t>[6]</w:t>
      </w:r>
      <w:r w:rsidRPr="003865C9">
        <w:rPr>
          <w:rFonts w:eastAsia="Times New Roman" w:cs="Times New Roman"/>
          <w:lang w:val="es-ES" w:eastAsia="es-ES"/>
        </w:rPr>
        <w:fldChar w:fldCharType="end"/>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n-US" w:eastAsia="es-ES"/>
        </w:rPr>
        <w:instrText>ADDIN CSL_CITATION {"citationItems":[{"id":"ITEM-1","itemData":{"DOI":"10.1016/j.apenergy.2015.05.089","ISSN":"03062619","abstract":"This study focuses on the environmental impact assessment through Life Cycle Analysis (LCA) of two innovative 10. kW pellet boilers. In particular, the second boiler represents a technological evolution of the first one developed to improve its performance in terms of efficiency and environmental impact. For both boilers, emission factors measured during laboratory tests (full load tests and specific load cycle tests representative of real life boiler operation) have been used as input data in the life cycle analysis. The SimaPro software (v.8.0.4.30) was used for the LCA and the ReCiPe Midpoint method (European version H) was chosen to assess the environmental impact of all boilers (according to LCA ISO standards). In addition, the ReCiPe Endpoint method was used to compare the final results of all 5 boilers with literature data.The pelletisation process represented the most relevant share of the overall environmental impact followed by the operational phase, the manufacturing phase and the disposal phase. A sensitivity analysis performed on the most efficient pellet boiler evidenced the variation of the boiler's environmental impact as a function of PM10 and NOX emission factors with respect to emission factors monitored during boiler full load operation. Moreover, the reduction of the boiler's weight and the adoption of new electronic components led to a consistent reduction (-18%) of its environmental impact with respect to the previous technology. A second LCA has been carried on for a 15kW oil boiler, a 15kW natural gas boiler and a 15kW pellet boiler, representative of the state of the art of EU technology, to finally compare all LCA results. Results showed the environmental impact reduction of BW10 and BW10 2 pellet boilers with respect to fossil fuelled boilers mainly due to their reduced impact on CC (reductions by 86-90% and 88-91% with respect to the NG and oil boilers respectively), NLT (reductions by 77-79% and 86-87% with respect to the NG and oil boilers respectively) and FD (reductions by 89-92% and 90-93% with respect to the NG and oil boilers respectively) ReCiPe Midpoint subcategories.","author":[{"dropping-particle":"","family":"Monteleone","given":"B.","non-dropping-particle":"","parse-names":false,"suffix":""},{"dropping-particle":"","family":"Chiesa","given":"M.","non-dropping-particle":"","parse-names":false,"suffix":""},{"dropping-particle":"","family":"Marzuoli","given":"R.","non-dropping-particle":"","parse-names":false,"suffix":""},{"dropping-particle":"","family":"Verma","given":"V. K.","non-dropping-particle":"","parse-names":false,"suffix":""},{"dropping-particle":"","family":"Schwarz","given":"M.","non-dropping-particle":"","parse-names":false,"suffix":""},{"dropping-particle":"","family":"Carlon","given":"E.","non-dropping-particle":"","parse-names":false,"suffix":""},{"dropping-particle":"","family":"Schmidl","given":"C.","non-dropping-particle":"","parse-names":false,"suffix":""},{"dropping-particle":"","family":"Ballarin Denti","given":"A.","non-dropping-particle":"","parse-names":false,"suffix":""}],"container-title":"Applied Energy","id":"ITEM-1","issue":"2015","issued":{"date-parts":[["2015"]]},"page":"160-170","publisher":"Elsevier Ltd","title":"Life cycle analysis of small scale pellet boilers characterized by high efficiency and low emissions","type":"article-journal","volume":"155"},"uris":["http://www.mendeley.com/documents/?uuid=5512452d-4864-489b-936a-2904b881be78","http://www.mendeley.com/documents/?uuid=bf21505f-156c-4b9e-928c-791648ecdb9b"]}],"mendeley":{"formattedCitation":"[7]","plainTextFormattedCitation":"[7]","previouslyFormattedCitation":"(Monteleone et al., 2015)"},"properties":{"noteIndex":0},"schema":"https://github.com/citation-style-language/schema/raw/master/csl-citation.json"}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[7]</w:t>
      </w:r>
      <w:r w:rsidRPr="003865C9">
        <w:rPr>
          <w:rFonts w:eastAsia="Times New Roman" w:cs="Times New Roman"/>
          <w:lang w:val="es-ES" w:eastAsia="es-ES"/>
        </w:rPr>
        <w:fldChar w:fldCharType="end"/>
      </w:r>
      <w:r w:rsidRPr="003865C9">
        <w:rPr>
          <w:rFonts w:eastAsia="Times New Roman" w:cs="Times New Roman"/>
          <w:lang w:val="es-ES" w:eastAsia="es-ES"/>
        </w:rPr>
        <w:t>,</w:t>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{"citationItems":[{"id":"ITEM-1","itemData":{"DOI":"10.1016/j.biombioe.2015.07.016","ISSN":"18732909","abstract":"In this work the primary combustion zone of a modified, commercial, small-scale boiler was investigated during staged combustion of wood-chips. Experimental research on thermal conversion of biomass in fixed beds is necessary to supply reliable data for gas phase combustion model validation and optimization. Furthermore, scruting of pollutant emission formation and combustion efficiency enhancement can be conducted. Two different fuel moistures were used while the primary combustion zone of a small-scale boiler was investigated as a function of the primary air ratio. The combustible products leaving the fuel layer were analyzed under continuous operation by an extractive method. This approach is new in the field of small-scale biomass combustion research and considers the strong coupling between the products leaving the fuel bed and the heat fluxes emitted by the flame of the secondary combustion zone. Additionally, fine particulate matter emissions were quantified to study the effect of varying primary air ratio and different fuel moisture on particulate formation. Results show that the primary air ratio and the fuel moisture have a significant influence on the primary combustion products composition, on the fuel bed behavior and on fine particulate matter emissions. At low primary air ratios, tars constitute a significant part of the heating value of primary combustion products. The smallest amount of particulate emissions was found at low primary air ratio and low fuel moisture. Experimental data was validated with an elemental balance, which showed perfect accordance.","author":[{"dropping-particle":"","family":"Buchmayr","given":"M.","non-dropping-particle":"","parse-names":false,"suffix":""},{"dropping-particle":"","family":"Gruber","given":"J.","non-dropping-particle":"","parse-names":false,"suffix":""},{"dropping-particle":"","family":"Hargassner","given":"M.","non-dropping-particle":"","parse-names":false,"suffix":""},{"dropping-particle":"","family":"Hochenauer","given":"C.","non-dropping-particle":"","parse-names":false,"suffix":""}],"container-title":"Biomass and Bioenergy","id":"ITEM-1","issued":{"date-parts":[["2015"]]},"page":"356-363","publisher":"Elsevier Ltd","title":"Experimental investigation of the primary combustion zone during staged combustion of wood-chips in a commercial small-scale boiler","type":"article-journal","volume":"81"},"uris":["http://www.mendeley.com/documents/?uuid=f88bfc13-baeb-4095-903c-c875acb8d7ef","http://www.mendeley.com/documents/?uuid=0fe5d867-9096-48cc-a43e-cf8f980b6a1b"]}],"mendeley":{"formattedCitation":"[8]","plainTextFormattedCitation":"[8]","previouslyFormattedCitation":"(Buchmayr, Gruber, Hargassner, &amp; Hochenauer, 2015)"},"properties":{"noteIndex":0},"schema":"https://github.com/citation-style-language/schema/raw/master/csl-citation.json"}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[8]</w:t>
      </w:r>
      <w:r w:rsidRPr="003865C9">
        <w:rPr>
          <w:rFonts w:eastAsia="Times New Roman" w:cs="Times New Roman"/>
          <w:lang w:val="es-ES" w:eastAsia="es-ES"/>
        </w:rPr>
        <w:fldChar w:fldCharType="end"/>
      </w:r>
      <w:r w:rsidRPr="003865C9">
        <w:rPr>
          <w:rFonts w:eastAsia="Times New Roman" w:cs="Times New Roman"/>
          <w:lang w:val="es-ES" w:eastAsia="es-ES"/>
        </w:rPr>
        <w:t>,</w:t>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{"citationItems":[{"id":"ITEM-1","itemData":{"DOI":"10.1016/j.apenergy.2014.12.022","ISSN":"03062619","abstract":"More knowledge on combustion of agricultural crops is needed because of increased interest in using farm-grown biomass for energy production purposes. Presently, uncertainty regarding fuel quality and combustion-related emissions hinders the sustainable development of the agricultural biomass industry. The aim of this study was to evaluate the influence of physicochemical properties of biomass on gas, namely carbon monoxide (CO), carbon dioxide (CO2), methane (CH4), nitrous oxide (N2O), nitrogen monoxide (NO), nitrogen dioxide (NO2), ammonia (NH3), sulfur dioxide (SO2) and hydrogen chloride (HCl), and particulate emissions during on-farm combustion of wood and four dedicated energy crops: short-rotation willow, miscanthus, switchgrass and reed canary grass. Different shapes (pellets, chips and chopped grasses) and harvest seasons (fall and spring) were investigated. The thermal efficiency of the 29-kW boiler (63-75%) varied depending on energy load, excess air and fuel ash content. Wood emitted less CO (57-94%), NOx (64-74%), SO2 (0-93%) and PM (49-82%) during combustion than the four other solid biofuels. Higher emissions from the latter are due to their higher nutrient content. Pelletized products usually generated less CO (27-86%), CH4 (15-98%) and PM (28-50%) than uncompressed materials. Reaching a constant combustion process with chopped biomass fuels turned out very difficult because of their heterogeneous particles and low density. The present work also revealed that delaying harvest from fall to spring reduced NOx (0-11%), SO2 (11-54%) and PM (0-37%) emissions. The 20-60% decrease of several chemical elements in the biomass due to leaching is likely responsible. Wood, willow, fall- and spring-harvested switchgrass and miscanthus pellets and willow chips seemed suitable to be burned in appropriate small-scale combustion units according to fuel indexes evaluation.","author":[{"dropping-particle":"","family":"Fournel","given":"S.","non-dropping-particle":"","parse-names":false,"suffix":""},{"dropping-particle":"","family":"Palacios","given":"J. H.","non-dropping-particle":"","parse-names":false,"suffix":""},{"dropping-particle":"","family":"Morissette","given":"R.","non-dropping-particle":"","parse-names":false,"suffix":""},{"dropping-particle":"","family":"Villeneuve","given":"J.","non-dropping-particle":"","parse-names":false,"suffix":""},{"dropping-particle":"","family":"Godbout","given":"S.","non-dropping-particle":"","parse-names":false,"suffix":""},{"dropping-particle":"","family":"Heitz","given":"M.","non-dropping-particle":"","parse-names":false,"suffix":""},{"dropping-particle":"","family":"Savoie","given":"P.","non-dropping-particle":"","parse-names":false,"suffix":""}],"container-title":"Applied Energy","id":"ITEM-1","issued":{"date-parts":[["2015"]]},"page":"247-259","publisher":"Elsevier Ltd","title":"Influence of biomass properties on technical and environmental performance of a multi-fuel boiler during on-farm combustion of energy crops","type":"article-journal","volume":"141"},"uris":["http://www.mendeley.com/documents/?uuid=2d122d71-faab-4a24-bf2e-705d2aa56467","http://www.mendeley.com/documents/?uuid=373ca16d-e648-43d5-8788-92316c2eae28"]}],"mendeley":{"formattedCitation":"[9]","plainTextFormattedCitation":"[9]","previouslyFormattedCitation":"(Fournel et al., 2015)"},"properties":{"noteIndex":0},"schema":"https://github.com/citation-style-language/schema/raw/master/csl-citation.json"}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[9]</w:t>
      </w:r>
      <w:r w:rsidRPr="003865C9">
        <w:rPr>
          <w:rFonts w:eastAsia="Times New Roman" w:cs="Times New Roman"/>
          <w:lang w:val="es-ES" w:eastAsia="es-ES"/>
        </w:rPr>
        <w:fldChar w:fldCharType="end"/>
      </w:r>
      <w:r w:rsidRPr="003865C9">
        <w:rPr>
          <w:rFonts w:eastAsia="Times New Roman" w:cs="Times New Roman"/>
          <w:lang w:val="es-E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10.1021/acs.energyfuels.6b02717","ISSN":"0887-0624","author":[{"dropping-particle":"","family":"Lamberg","given":"Heikki","non-dropping-particle":"","parse-names":false,"suffix":""},{"dropping-particle":"","family":"Sippula","given":"Olli","non-dropping-particle":"","parse-names":false,"suffix":""},{"dropping-particle":"","family":"Tissari","given":"Jarkko","non-dropping-particle":"","parse-names":false,"suffix":""},{"dropping-particle":"","family":"Virén","given":"Annika","non-dropping-particle":"","parse-names":false,"suffix":""},{"dropping-particle":"","family":"Kaivosoja","given":"Terhi","non-dropping-particle":"","parse-names":false,"suffix":""},{"dropping-particle":"","family":"Aarinen","given":"Aki","non-dropping-particle":"","parse-names":false,"suffix":""},{"dropping-particle":"","family":"Salminen","given":"Vesa","non-dropping-particle":"","parse-names":false,"suffix":""},{"dropping-particle":"","family":"Jokiniemi","given":"Jorma","non-dropping-particle":"","parse-names":false,"suffix":""}],"container-title":"Energy &amp; Fuels","id":"ITEM-1","issue":"2","issued":{"date-parts":[["2017","2"]]},"page":"1961-1968","publisher":"American Chemical Society","title":"Operation and Emissions of a Hybrid Stove Fueled by Pellets and Log Wood","type":"article-journal","volume":"31"},"uris":["http://www.mendeley.com/documents/?uuid=261818e6-fca0-4acb-9b21-ebd7d1ada3c1","http://www.mendeley.com/documents/?uuid=e86f3440-e1bd-42e7-9dca-6377507ca2b6"]}],"mendeley":{"formattedCitation":"[10]","plainTextFormattedCitation":"[10]","previouslyFormattedCitation":"(Lamberg et al., 2017)"},"properties":{"noteIndex":0},"schema":"https://github.com/citation-style-language/schema/raw/master/csl-citation.json"}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[10]</w:t>
      </w:r>
      <w:r w:rsidRPr="003865C9">
        <w:rPr>
          <w:rFonts w:eastAsia="Times New Roman" w:cs="Times New Roman"/>
          <w:lang w:val="es-ES" w:eastAsia="es-ES"/>
        </w:rPr>
        <w:fldChar w:fldCharType="end"/>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{"citationItems":[{"id":"ITEM-1","itemData":{"DOI":"10.1016/j.biombioe.2016.04.019","ISSN":"18732909","abstract":"This study focuses on the environmental impact assessment of three different high efficiency residential pellet boilers manufactured by an Austrian company. A Life Cycle Analysis (LCA) and an Environmental Life Cycle Costing (ELCC) analysis were performed, along with air quality modelling simulations for two EU case studies to evaluate CO, PM10, SO2, NO2 concentration reductions due to the substitution of the innovative boilers in place of obsolete and non environmentally compliant biomass boilers.The SimaPro software (v. 8.05.13, Recipe Midpoint Method) was used for the LCA and ELCC analysis while CALPUFF (v. 6.42) was used for air quality simulations.Boilers emission and efficiency factors operating in real life conditions were used as input data for all environmental impact assessment analysis. Results showed an interesting reduction of both the environmental impact and pellet consumption cost (linked to the highest monetary value in the ELCC analysis) associated to the most innovative boiler model among the three envisaged. Furthermore, it emerged that air quality could be improved in the short term (2020) with the substitution of obsolete and end of life biomass boilers with high efficiency pellet boilers in EU areas where biomass is the main source of residential heating. A potential reduction of local CO, SO2 and PM10 concentrations from 9% to 23% depending on the pollutant and on the specific case study considered is found for the short term scenario (2020) with respect to the baseline scenario (2010). No significant differences in air quality were evidenced for NO2 concentrations.","author":[{"dropping-particle":"","family":"Chiesa","given":"M.","non-dropping-particle":"","parse-names":false,"suffix":""},{"dropping-particle":"","family":"Monteleone","given":"B.","non-dropping-particle":"","parse-names":false,"suffix":""},{"dropping-particle":"","family":"Venuta","given":"M. L.","non-dropping-particle":"","parse-names":false,"suffix":""},{"dropping-particle":"","family":"Maffeis","given":"G.","non-dropping-particle":"","parse-names":false,"suffix":""},{"dropping-particle":"","family":"Greco","given":"S.","non-dropping-particle":"","parse-names":false,"suffix":""},{"dropping-particle":"","family":"Cherubini","given":"A.","non-dropping-particle":"","parse-names":false,"suffix":""},{"dropping-particle":"","family":"Schmidl","given":"C.","non-dropping-particle":"","parse-names":false,"suffix":""},{"dropping-particle":"","family":"Finco","given":"A.","non-dropping-particle":"","parse-names":false,"suffix":""},{"dropping-particle":"","family":"Gerosa","given":"G.","non-dropping-particle":"","parse-names":false,"suffix":""},{"dropping-particle":"","family":"Denti","given":"A. Ballarin","non-dropping-particle":"","parse-names":false,"suffix":""}],"container-title":"Biomass and Bioenergy","id":"ITEM-1","issue":"2016","issued":{"date-parts":[["2016"]]},"page":"262-272","publisher":"Elsevier Ltd","title":"Integrated study through LCA, ELCC analysis and air quality modelling related to the adoption of high efficiency small scale pellet boilers","type":"article-journal","volume":"90"},"uris":["http://www.mendeley.com/documents/?uuid=d7b02bca-f7f0-4ef8-be1b-a2dbc0fae2a5","http://www.mendeley.com/documents/?uuid=9ebded41-a0b7-4723-af78-113736f051d0"]}],"mendeley":{"formattedCitation":"[11]","plainTextFormattedCitation":"[11]","previouslyFormattedCitation":"(Chiesa et al., 2016)"},"properties":{"noteIndex":0},"schema":"https://github.com/citation-style-language/schema/raw/master/csl-citation.json"}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[11]</w:t>
      </w:r>
      <w:r w:rsidRPr="003865C9">
        <w:rPr>
          <w:rFonts w:eastAsia="Times New Roman" w:cs="Times New Roman"/>
          <w:lang w:val="es-ES" w:eastAsia="es-ES"/>
        </w:rPr>
        <w:fldChar w:fldCharType="end"/>
      </w:r>
      <w:r w:rsidRPr="003865C9">
        <w:rPr>
          <w:rFonts w:eastAsia="Times New Roman" w:cs="Times New Roman"/>
          <w:lang w:val="es-ES" w:eastAsia="es-ES"/>
        </w:rPr>
        <w:t>,</w:t>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{"citationItems":[{"id":"ITEM-1","itemData":{"DOI":"10.1016/j.biombioe.2018.05.011","ISSN":"18732909","abstract":"Fine particulate matter (PM) emission from biomass boilers for non-industrial heating represents one of the most important causes (together with the transport sector) of air pollution, in particular during winter. Separation technologies for fine PM are already well-known and adopted on an industrial scale, as a consequence of strict limits set by national and international regulations. On domestic boilers, the same technologies utilized on an industrial scale are not feasible due to high investment costs. Moreover, the emission limits for small size biomass boilers are higher than for industrial boilers, so high efficiency separation technologies are not needed, and are sometimes not present at all. The main goal of the paper is the development and testing of a mathematical model that is able to foresee the PM removal efficiency of a wet scrubber device. After an experimental validation based on several tests, it was possible to approach the preliminary design of an innovative wet scrubber, which is described in the paper. The main characteristics are (i) removal efficiency over 99.9%, (ii) specific energy consumption under 36 kJ m−3, which is an industrial reference, and (iii) relatively low investment, operation and maintenance costs.","author":[{"dropping-particle":"","family":"Bianchini","given":"Augusto","non-dropping-particle":"","parse-names":false,"suffix":""},{"dropping-particle":"","family":"Pellegrini","given":"Marco","non-dropping-particle":"","parse-names":false,"suffix":""},{"dropping-particle":"","family":"Rossi","given":"Jessica","non-dropping-particle":"","parse-names":false,"suffix":""},{"dropping-particle":"","family":"Saccani","given":"Cesare","non-dropping-particle":"","parse-names":false,"suffix":""}],"container-title":"Biomass and Bioenergy","id":"ITEM-1","issue":"April","issued":{"date-parts":[["2018"]]},"page":"60-71","publisher":"Elsevier Ltd","title":"Theoretical model and preliminary design of an innovative wet scrubber for the separation of fine particulate matter produced by biomass combustion in small size boilers","type":"article-journal","volume":"116"},"uris":["http://www.mendeley.com/documents/?uuid=a0b7ef99-716b-41dd-92f0-6c11ff988eab","http://www.mendeley.com/documents/?uuid=2daf10a7-82f9-4c9d-a0cc-934aa472a047"]}],"mendeley":{"formattedCitation":"[12]","plainTextFormattedCitation":"[12]","previouslyFormattedCitation":"(Bianchini, Pellegrini, Rossi, &amp; Saccani, 2018)"},"properties":{"noteIndex":0},"schema":"https://github.com/citation-style-language/schema/raw/master/csl-citation.json"}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[12]</w:t>
      </w:r>
      <w:r w:rsidRPr="003865C9">
        <w:rPr>
          <w:rFonts w:eastAsia="Times New Roman" w:cs="Times New Roman"/>
          <w:lang w:val="es-ES" w:eastAsia="es-ES"/>
        </w:rPr>
        <w:fldChar w:fldCharType="end"/>
      </w:r>
      <w:r w:rsidRPr="003865C9">
        <w:rPr>
          <w:rFonts w:eastAsia="Times New Roman" w:cs="Times New Roman"/>
          <w:lang w:val="es-ES" w:eastAsia="es-ES"/>
        </w:rPr>
        <w:t>,</w:t>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{"citationItems":[{"id":"ITEM-1","itemData":{"DOI":"10.1016/j.enbuild.2018.07.023","ISSN":"03787788","abstract":"A novel methodology for optimizing thermal storage for biomass boiler heating systems is presented in this paper. Biomass boiler heating systems have gradually gained popularity in residential, commercial, and large-scale district heating plants due to the lower carbon footprint of biomass energy. One unanswered question in this field was the size of the thermal energy storage (TES) tank with respect to different boiler capacities and different types of heat demand profiles. Different standards and recommendations (based only on boiler capacities) have been proposed by various organizations around the world with large deviations on the sizing of the TES tank, but without a clear technical basis for these recommendations. These inconsistencies impede the effective design and deployment of biomass boiler heating systems. This study used a dynamic process simulation system based on field data from a 25-kW wood pellet boiler with radiant floor heating. By running the simulation for different boiler capacities (N) and different types of heat demand profiles (i.e. low, medium, high, intermittent, and variable), the optimum TES tank volume can be estimated by evaluating the TES tank discharge efficiency, boiler on-time, boiler off-time, and maximum boiler output temperature. Linear correlations between optimum TES tank volume and boiler nominal capacity for different types of heat demand profiles were obtained. The results showed that the medium building heat demand (45% N) required the smallest TES tank volume while intermittent building demand requires the largest. High building demand (60% N) generates the highest TES tank discharge efficiency (up to 99%) but also requires large storage volume. From the economic point of view, it is recommended to size the thermal energy storage system such that the average building heat demand is around 45% of boiler nominal capacity.","author":[{"dropping-particle":"","family":"Wang","given":"Kui","non-dropping-particle":"","parse-names":false,"suffix":""},{"dropping-particle":"","family":"Satyro","given":"Marco A.","non-dropping-particle":"","parse-names":false,"suffix":""},{"dropping-particle":"","family":"Taylor","given":"Ross","non-dropping-particle":"","parse-names":false,"suffix":""},{"dropping-particle":"","family":"Hopke","given":"Philip K.","non-dropping-particle":"","parse-names":false,"suffix":""}],"container-title":"Energy and Buildings","id":"ITEM-1","issued":{"date-parts":[["2018"]]},"page":"199-207","publisher":"Elsevier B.V.","title":"Thermal energy storage tank sizing for biomass boiler heating systems using process dynamic simulation","type":"article-journal","volume":"175"},"uris":["http://www.mendeley.com/documents/?uuid=192dcdb3-8aa4-4150-aa62-910387f1caf8","http://www.mendeley.com/documents/?uuid=b6d117ab-ab2c-486c-ad27-2ef763035251"]}],"mendeley":{"formattedCitation":"[13]","plainTextFormattedCitation":"[13]","previouslyFormattedCitation":"(Wang, Satyro, Taylor, &amp; Hopke, 2018)"},"properties":{"noteIndex":0},"schema":"https://github.com/citation-style-language/schema/raw/master/csl-citation.json"}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[13]</w:t>
      </w:r>
      <w:r w:rsidRPr="003865C9">
        <w:rPr>
          <w:rFonts w:eastAsia="Times New Roman" w:cs="Times New Roman"/>
          <w:lang w:val="es-ES" w:eastAsia="es-ES"/>
        </w:rPr>
        <w:fldChar w:fldCharType="end"/>
      </w:r>
      <w:r w:rsidRPr="003865C9">
        <w:rPr>
          <w:rFonts w:eastAsia="Times New Roman" w:cs="Times New Roman"/>
          <w:lang w:val="es-ES" w:eastAsia="es-ES"/>
        </w:rPr>
        <w:t>,</w:t>
      </w:r>
      <w:r w:rsidRPr="003865C9">
        <w:rPr>
          <w:rFonts w:eastAsia="Times New Roman" w:cs="Times New Roman"/>
          <w:lang w:val="en-US" w:eastAsia="es-ES"/>
        </w:rPr>
        <w:t xml:space="preserve">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{"citationItems":[{"id":"ITEM-1","itemData":{"DOI":"10.1016/j.joei.2017.04.003","ISSN":"17460220","abstract":"Small-scale biomass boiler development is often based on empirical methods resulting in high efforts for experimental test runs using several prototypes. CFD simulations are able to reduce both, development time and efforts for tests and prototypes, supposing that the models reliability is high and its computational effort is low. Extreme air-staging with an initial gasification stage and a subsequent fuel gas burnout in a downstream gas-burner is a promising new method to reduce NOX and PM emissions in small-scale biomass boilers. Gasification conditions in the first combustion stage lead to high accumulation of gaseous tars in the fuel gas contributing challenges for combustion simulation because common CFD models use 2 or 3-step global methane reaction schemes to describe combustion chemistry. In this work, the performance of a computationally inexpensive steady flamelet model (SFM) together with a detailed reaction mechanism (18 species, 42 reactions) was scrutinized. In order to evaluate the performance of the SFM, two furnace designs were examined, running under different load shifts and various excess air ratio. Comparative numerical simulations were performed with classical species transport models. The numerical simulations and the experiments for validation were carried out on a wood-chip boiler with a heat output of 40 kW. Results show that flue gas temperature, flame shape, main flue gas concentrations and NOX can be quantitatively predicted. The SFM shows also reasonable good predictions for CO variation trends. With the present approach, calculation time can be reduced by 90% compared to commonly used models (EDC). The SFM provides sufficiently accurate results within 24 h using a standard processor consisting of six cores (mesh size 1.5 million elements). Thus, the presented model is a perfectly suitable method for applied science and industrial research.","author":[{"dropping-particle":"","family":"Buchmayr","given":"M.","non-dropping-particle":"","parse-names":false,"suffix":""},{"dropping-particle":"","family":"Gruber","given":"J.","non-dropping-particle":"","parse-names":false,"suffix":""},{"dropping-particle":"","family":"Hargassner","given":"M.","non-dropping-particle":"","parse-names":false,"suffix":""},{"dropping-particle":"","family":"Hochenauer","given":"C.","non-dropping-particle":"","parse-names":false,"suffix":""}],"container-title":"Journal of the Energy Institute","id":"ITEM-1","issue":"4","issued":{"date-parts":[["2018"]]},"page":"534-548","publisher":"Elsevier Ltd","title":"Performance analysis of a steady flamelet model for the use in small-scale biomass combustion under extreme air-staged conditions","type":"article-journal","volume":"91"},"uris":["http://www.mendeley.com/documents/?uuid=aeb49ad6-fea6-440d-875b-097e4b3656d7","http://www.mendeley.com/documents/?uuid=83e3459b-8f49-480c-b741-cac77e1e1949"]}],"mendeley":{"formattedCitation":"[14]","plainTextFormattedCitation":"[14]","previouslyFormattedCitation":"(Buchmayr, Gruber, Hargassner, &amp; Hochenauer, 2018)"},"properties":{"noteIndex":0},"schema":"https://github.com/citation-style-language/schema/raw/master/csl-citation.json"}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[14]</w:t>
      </w:r>
      <w:r w:rsidRPr="003865C9">
        <w:rPr>
          <w:rFonts w:eastAsia="Times New Roman" w:cs="Times New Roman"/>
          <w:lang w:val="es-ES" w:eastAsia="es-ES"/>
        </w:rPr>
        <w:fldChar w:fldCharType="end"/>
      </w:r>
      <w:r w:rsidRPr="003865C9">
        <w:rPr>
          <w:rFonts w:eastAsia="Times New Roman" w:cs="Times New Roman"/>
          <w:lang w:eastAsia="es-ES"/>
        </w:rPr>
        <w:t xml:space="preserve"> y </w:t>
      </w:r>
      <w:r w:rsidRPr="003865C9">
        <w:rPr>
          <w:rFonts w:eastAsia="Times New Roman" w:cs="Times New Roman"/>
          <w:lang w:val="es-ES" w:eastAsia="es-ES"/>
        </w:rPr>
        <w:fldChar w:fldCharType="begin" w:fldLock="1"/>
      </w:r>
      <w:r w:rsidR="00806391" w:rsidRPr="003865C9">
        <w:rPr>
          <w:rFonts w:eastAsia="Times New Roman" w:cs="Times New Roman"/>
          <w:lang w:val="es-ES" w:eastAsia="es-ES"/>
        </w:rPr>
        <w:instrText>ADDIN CSL_CITATION {"citationItems":[{"id":"ITEM-1","itemData":{"DOI":"10.1016/j.renene.2019.05.006","ISSN":"18790682","abstract":"The main goal of this study is to investigate the effect of boiler design by smoke tube addition on combustion characteristics and emissions in a small scale pellet boiler. In this context, flame/smoke tube pellet-fuelled boilers with two different constructions were designed, manufactured and tested. In the design of the boilers, the first passes of gases without smoke tubes (Boiler-1)and with smoke tubes (Boiler-2)were considered. The effect of different gas passes of the boilers on flame temperature, flue gas temperature, thermal efficiency, and flue gas emissions of O2, CO, CO2 and NOx were investigated and results were compared with each other. The results showed that adding smoke tubes to the first pass of the boiler decreased the average flue gas temperatures from 87.6 °C to 76.9 °C. The thermal efficiency of the Boiler-2 geometry reached a value of 92.3% and was nearly 1.3% higher than the Boiler-1 geometry. CO emissions increased up to 205 ppm from 166 to 371 ppm by addition of smoke tubes to the first pass of the Boiler-1. It was observed that smoke tubes addition to the first pass of the boiler did not affect the NOx emissions significantly, which were about 45–47 ppm.","author":[{"dropping-particle":"","family":"Sungur","given":"Bilal","non-dropping-particle":"","parse-names":false,"suffix":""},{"dropping-particle":"","family":"Topaloglu","given":"Bahattin","non-dropping-particle":"","parse-names":false,"suffix":""}],"container-title":"Renewable Energy","id":"ITEM-1","issued":{"date-parts":[["2019"]]},"page":"121-129","publisher":"Elsevier Ltd","title":"An experimental investigation of the effect of smoke tube configuration on the performance and emission characteristics of pellet-fuelled boilers","type":"article-journal","volume":"143"},"uris":["http://www.mendeley.com/documents/?uuid=7ad180ad-df28-4721-9fdd-15f856ee3fc6","http://www.mendeley.com/documents/?uuid=bd86c317-63b1-4415-a58a-91487e60ef6c"]}],"mendeley":{"formattedCitation":"[15]","plainTextFormattedCitation":"[15]","previouslyFormattedCitation":"(Sungur &amp; Topaloglu, 2019)"},"properties":{"noteIndex":0},"schema":"https://github.com/citation-style-language/schema/raw/master/csl-citation.json"}</w:instrText>
      </w:r>
      <w:r w:rsidRPr="003865C9">
        <w:rPr>
          <w:rFonts w:eastAsia="Times New Roman" w:cs="Times New Roman"/>
          <w:lang w:val="es-ES" w:eastAsia="es-ES"/>
        </w:rPr>
        <w:fldChar w:fldCharType="separate"/>
      </w:r>
      <w:r w:rsidR="00806391" w:rsidRPr="003865C9">
        <w:rPr>
          <w:rFonts w:eastAsia="Times New Roman" w:cs="Times New Roman"/>
          <w:noProof/>
          <w:lang w:val="es-ES" w:eastAsia="es-ES"/>
        </w:rPr>
        <w:t>[15]</w:t>
      </w:r>
      <w:r w:rsidRPr="003865C9">
        <w:rPr>
          <w:rFonts w:eastAsia="Times New Roman" w:cs="Times New Roman"/>
          <w:lang w:val="es-ES" w:eastAsia="es-ES"/>
        </w:rPr>
        <w:fldChar w:fldCharType="end"/>
      </w:r>
      <w:r w:rsidRPr="003865C9">
        <w:rPr>
          <w:rFonts w:eastAsia="Times New Roman" w:cs="Times New Roman"/>
          <w:lang w:val="es-ES" w:eastAsia="es-ES"/>
        </w:rPr>
        <w:t>. Se identifican las necesidades de aplicar mecanismos para el ingreso de los pellets y para la extracción de cenizas, adicionalmente se establece la importancia de su funcionalidad, debido al objeto general que consiste en el calentamiento del aire, en la bibliografía se recomienda el uso de un fluido como material estabilizador y almacenador de energía térmica.</w:t>
      </w:r>
    </w:p>
    <w:p w14:paraId="7BCEDD2B" w14:textId="77777777" w:rsidR="00CE34E8" w:rsidRPr="003865C9" w:rsidRDefault="00CE34E8" w:rsidP="00CE34E8">
      <w:pPr>
        <w:rPr>
          <w:rFonts w:eastAsia="Times New Roman" w:cs="Times New Roman"/>
          <w:lang w:val="es-ES" w:eastAsia="es-ES"/>
        </w:rPr>
      </w:pPr>
    </w:p>
    <w:p w14:paraId="4A07A8B1" w14:textId="166653E8" w:rsidR="00CE34E8" w:rsidRPr="003865C9" w:rsidRDefault="00CE34E8" w:rsidP="00CE34E8">
      <w:pPr>
        <w:pStyle w:val="Ttulo2"/>
      </w:pPr>
      <w:bookmarkStart w:id="2" w:name="_Toc101276618"/>
      <w:r w:rsidRPr="003865C9">
        <w:t>Dimensionamiento del quemador de pellets</w:t>
      </w:r>
      <w:bookmarkEnd w:id="2"/>
    </w:p>
    <w:p w14:paraId="22DF61B3" w14:textId="77777777" w:rsidR="00CE34E8" w:rsidRPr="003865C9" w:rsidRDefault="00CE34E8" w:rsidP="00CE34E8">
      <w:pPr>
        <w:rPr>
          <w:rFonts w:eastAsia="Times New Roman" w:cs="Times New Roman"/>
          <w:b/>
          <w:lang w:eastAsia="es-ES"/>
        </w:rPr>
      </w:pPr>
    </w:p>
    <w:p w14:paraId="6EB3C9DF"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Las bases del desarrollo del quemador se centran en establecer dimensiones básicas, se parte de su funcionalidad que es el calentamiento de aire por tal motivo se realizan construcciones CAD de elementos fundamentales del sistema de combustión y el intercambiador de calor. El primer componente es el tubo por el cual se calentará el aire y que hace contacto con el fluido estabilizador y almacenador de calor.</w:t>
      </w:r>
    </w:p>
    <w:p w14:paraId="0254528C" w14:textId="77777777" w:rsidR="00CE34E8" w:rsidRPr="003865C9" w:rsidRDefault="00CE34E8" w:rsidP="00CE34E8">
      <w:pPr>
        <w:rPr>
          <w:rFonts w:eastAsia="Times New Roman" w:cs="Times New Roman"/>
          <w:lang w:eastAsia="es-ES"/>
        </w:rPr>
      </w:pPr>
    </w:p>
    <w:p w14:paraId="77EF72F0" w14:textId="44E2C47D" w:rsidR="00CE34E8" w:rsidRPr="003865C9" w:rsidRDefault="00CE34E8" w:rsidP="00CE34E8">
      <w:pPr>
        <w:pStyle w:val="Ttulo3"/>
      </w:pPr>
      <w:bookmarkStart w:id="3" w:name="_Toc101276619"/>
      <w:r w:rsidRPr="003865C9">
        <w:t>Serpentín del aire</w:t>
      </w:r>
      <w:bookmarkEnd w:id="3"/>
    </w:p>
    <w:p w14:paraId="3819563B" w14:textId="77777777" w:rsidR="00CE34E8" w:rsidRPr="003865C9" w:rsidRDefault="00CE34E8" w:rsidP="00CE34E8">
      <w:pPr>
        <w:rPr>
          <w:rFonts w:eastAsia="Times New Roman" w:cs="Times New Roman"/>
          <w:b/>
          <w:i/>
          <w:lang w:eastAsia="es-ES"/>
        </w:rPr>
      </w:pPr>
    </w:p>
    <w:p w14:paraId="3F0DD533" w14:textId="77777777" w:rsidR="00CE34E8" w:rsidRDefault="00CE34E8" w:rsidP="00CE34E8">
      <w:pPr>
        <w:rPr>
          <w:rFonts w:eastAsia="Times New Roman" w:cs="Times New Roman"/>
          <w:lang w:eastAsia="es-ES"/>
        </w:rPr>
      </w:pPr>
      <w:r w:rsidRPr="003865C9">
        <w:rPr>
          <w:rFonts w:eastAsia="Times New Roman" w:cs="Times New Roman"/>
          <w:lang w:eastAsia="es-ES"/>
        </w:rPr>
        <w:t>El serpentín del aire tiene la función de permitir el caudal constante del aire que será calentado con la combustión del pellet, este mismo estará sumergido en un fluido para estabilización y almacenamiento de la energía.</w:t>
      </w:r>
    </w:p>
    <w:p w14:paraId="516F812F" w14:textId="77777777" w:rsidR="006173B6" w:rsidRDefault="006173B6" w:rsidP="00CE34E8">
      <w:pPr>
        <w:rPr>
          <w:rFonts w:eastAsia="Times New Roman" w:cs="Times New Roman"/>
          <w:lang w:eastAsia="es-ES"/>
        </w:rPr>
      </w:pPr>
    </w:p>
    <w:p w14:paraId="3DBBC8E2" w14:textId="77777777" w:rsidR="006173B6" w:rsidRDefault="006173B6" w:rsidP="00CE34E8">
      <w:pPr>
        <w:rPr>
          <w:rFonts w:eastAsia="Times New Roman" w:cs="Times New Roman"/>
          <w:lang w:eastAsia="es-ES"/>
        </w:rPr>
      </w:pPr>
    </w:p>
    <w:p w14:paraId="681653A6" w14:textId="77777777" w:rsidR="006173B6" w:rsidRDefault="006173B6" w:rsidP="00CE34E8">
      <w:pPr>
        <w:rPr>
          <w:rFonts w:eastAsia="Times New Roman" w:cs="Times New Roman"/>
          <w:lang w:eastAsia="es-ES"/>
        </w:rPr>
      </w:pPr>
    </w:p>
    <w:p w14:paraId="3B94076F" w14:textId="77777777" w:rsidR="006173B6" w:rsidRDefault="006173B6" w:rsidP="00CE34E8">
      <w:pPr>
        <w:rPr>
          <w:rFonts w:eastAsia="Times New Roman" w:cs="Times New Roman"/>
          <w:lang w:eastAsia="es-ES"/>
        </w:rPr>
      </w:pPr>
    </w:p>
    <w:p w14:paraId="38EDF807" w14:textId="77777777" w:rsidR="006173B6" w:rsidRPr="003865C9" w:rsidRDefault="006173B6" w:rsidP="00CE34E8">
      <w:pPr>
        <w:rPr>
          <w:rFonts w:eastAsia="Times New Roman" w:cs="Times New Roman"/>
          <w:lang w:eastAsia="es-ES"/>
        </w:rPr>
      </w:pPr>
    </w:p>
    <w:p w14:paraId="10B8CF1C" w14:textId="77777777" w:rsidR="00CE34E8" w:rsidRPr="003865C9" w:rsidRDefault="00CE34E8" w:rsidP="00CE34E8">
      <w:pPr>
        <w:jc w:val="center"/>
        <w:rPr>
          <w:rFonts w:eastAsia="Times New Roman" w:cs="Times New Roman"/>
          <w:iCs/>
          <w:lang w:val="es-ES" w:eastAsia="es-ES"/>
        </w:rPr>
      </w:pPr>
      <w:bookmarkStart w:id="4" w:name="_Toc101276582"/>
      <w:r w:rsidRPr="003865C9">
        <w:rPr>
          <w:rFonts w:eastAsia="Times New Roman" w:cs="Times New Roman"/>
          <w:iCs/>
          <w:lang w:val="es-ES" w:eastAsia="es-ES"/>
        </w:rPr>
        <w:lastRenderedPageBreak/>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3</w:t>
      </w:r>
      <w:r w:rsidRPr="003865C9">
        <w:rPr>
          <w:rFonts w:eastAsia="Times New Roman" w:cs="Times New Roman"/>
          <w:lang w:val="es-ES" w:eastAsia="es-ES"/>
        </w:rPr>
        <w:fldChar w:fldCharType="end"/>
      </w:r>
      <w:r w:rsidRPr="003865C9">
        <w:rPr>
          <w:rFonts w:eastAsia="Times New Roman" w:cs="Times New Roman"/>
          <w:iCs/>
          <w:lang w:val="es-ES" w:eastAsia="es-ES"/>
        </w:rPr>
        <w:t>. Serpentín</w:t>
      </w:r>
      <w:bookmarkEnd w:id="4"/>
    </w:p>
    <w:p w14:paraId="1CEE26E3"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364FF5D5" wp14:editId="0CFAA51F">
            <wp:extent cx="1899551" cy="1423284"/>
            <wp:effectExtent l="0" t="0" r="5715" b="5715"/>
            <wp:docPr id="4" name="Imagen 4" descr="Imagen que contiene cabl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able, tabla&#10;&#10;Descripción generada automáticamente"/>
                    <pic:cNvPicPr/>
                  </pic:nvPicPr>
                  <pic:blipFill rotWithShape="1">
                    <a:blip r:embed="rId14"/>
                    <a:srcRect t="4615" b="3590"/>
                    <a:stretch/>
                  </pic:blipFill>
                  <pic:spPr bwMode="auto">
                    <a:xfrm>
                      <a:off x="0" y="0"/>
                      <a:ext cx="1923967" cy="1441579"/>
                    </a:xfrm>
                    <a:prstGeom prst="rect">
                      <a:avLst/>
                    </a:prstGeom>
                    <a:ln>
                      <a:noFill/>
                    </a:ln>
                    <a:extLst>
                      <a:ext uri="{53640926-AAD7-44D8-BBD7-CCE9431645EC}">
                        <a14:shadowObscured xmlns:a14="http://schemas.microsoft.com/office/drawing/2010/main"/>
                      </a:ext>
                    </a:extLst>
                  </pic:spPr>
                </pic:pic>
              </a:graphicData>
            </a:graphic>
          </wp:inline>
        </w:drawing>
      </w:r>
    </w:p>
    <w:p w14:paraId="1C51020E"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4CC155FD" w14:textId="77777777" w:rsidR="000A36FD" w:rsidRPr="003865C9" w:rsidRDefault="000A36FD" w:rsidP="00CE34E8">
      <w:pPr>
        <w:jc w:val="center"/>
        <w:rPr>
          <w:rFonts w:eastAsia="Times New Roman" w:cs="Times New Roman"/>
          <w:i/>
          <w:iCs/>
          <w:lang w:eastAsia="es-ES"/>
        </w:rPr>
      </w:pPr>
    </w:p>
    <w:p w14:paraId="4F150C6F"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El dimensionamiento mostrado en la ilustración 7 tiene como base el diámetro de la tubería de ¾ de pulgada calibre 18, en acero inoxidable. Este material fue escogido con base a sus propiedades, que permiten la deformación, se escoge la forma de espiral para aprovechar el espacio disponible de la mejor forma y con base en la longitud que se sumerge el tubo, cercana a unos 16 m.</w:t>
      </w:r>
    </w:p>
    <w:p w14:paraId="758AED71" w14:textId="77777777" w:rsidR="00CE34E8" w:rsidRPr="003865C9" w:rsidRDefault="00CE34E8" w:rsidP="00CE34E8">
      <w:pPr>
        <w:rPr>
          <w:rFonts w:eastAsia="Times New Roman" w:cs="Times New Roman"/>
          <w:lang w:eastAsia="es-ES"/>
        </w:rPr>
      </w:pPr>
    </w:p>
    <w:p w14:paraId="6DC3F033" w14:textId="4072AC67" w:rsidR="00CE34E8" w:rsidRPr="003865C9" w:rsidRDefault="00CE34E8" w:rsidP="00CE34E8">
      <w:pPr>
        <w:pStyle w:val="Ttulo3"/>
      </w:pPr>
      <w:bookmarkStart w:id="5" w:name="_Toc101276620"/>
      <w:r w:rsidRPr="003865C9">
        <w:t>Tanque de almacenamiento e intercambiador</w:t>
      </w:r>
      <w:bookmarkEnd w:id="5"/>
    </w:p>
    <w:p w14:paraId="10E2C0CD" w14:textId="77777777" w:rsidR="00CE34E8" w:rsidRPr="003865C9" w:rsidRDefault="00CE34E8" w:rsidP="00CE34E8">
      <w:pPr>
        <w:rPr>
          <w:rFonts w:eastAsia="Times New Roman" w:cs="Times New Roman"/>
          <w:b/>
          <w:i/>
          <w:lang w:eastAsia="es-ES"/>
        </w:rPr>
      </w:pPr>
    </w:p>
    <w:p w14:paraId="660B3E14"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El tanque en el cual se deposita el fluido para la estabilización y almacenamiento de la energía térmica es un elemento fundamental para el avance en el control de las variables termodinámicas.</w:t>
      </w:r>
    </w:p>
    <w:p w14:paraId="58597BA7" w14:textId="77777777" w:rsidR="00CE34E8" w:rsidRPr="003865C9" w:rsidRDefault="00CE34E8" w:rsidP="00CE34E8">
      <w:pPr>
        <w:rPr>
          <w:rFonts w:eastAsia="Times New Roman" w:cs="Times New Roman"/>
          <w:lang w:eastAsia="es-ES"/>
        </w:rPr>
      </w:pPr>
    </w:p>
    <w:p w14:paraId="7BE98F34" w14:textId="77777777" w:rsidR="00CE34E8" w:rsidRPr="003865C9" w:rsidRDefault="00CE34E8" w:rsidP="00CE34E8">
      <w:pPr>
        <w:jc w:val="center"/>
        <w:rPr>
          <w:rFonts w:eastAsia="Times New Roman" w:cs="Times New Roman"/>
          <w:iCs/>
          <w:lang w:val="es-ES" w:eastAsia="es-ES"/>
        </w:rPr>
      </w:pPr>
      <w:bookmarkStart w:id="6" w:name="_Toc101276583"/>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4</w:t>
      </w:r>
      <w:r w:rsidRPr="003865C9">
        <w:rPr>
          <w:rFonts w:eastAsia="Times New Roman" w:cs="Times New Roman"/>
          <w:lang w:val="es-ES" w:eastAsia="es-ES"/>
        </w:rPr>
        <w:fldChar w:fldCharType="end"/>
      </w:r>
      <w:r w:rsidRPr="003865C9">
        <w:rPr>
          <w:rFonts w:eastAsia="Times New Roman" w:cs="Times New Roman"/>
          <w:iCs/>
          <w:lang w:val="es-ES" w:eastAsia="es-ES"/>
        </w:rPr>
        <w:t>. Tanque</w:t>
      </w:r>
      <w:bookmarkEnd w:id="6"/>
    </w:p>
    <w:p w14:paraId="4A27C06A"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16D1E8EF" wp14:editId="43B088C7">
            <wp:extent cx="1789043" cy="1391478"/>
            <wp:effectExtent l="0" t="0" r="1905" b="0"/>
            <wp:docPr id="6" name="Imagen 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cono&#10;&#10;Descripción generada automáticamente"/>
                    <pic:cNvPicPr/>
                  </pic:nvPicPr>
                  <pic:blipFill rotWithShape="1">
                    <a:blip r:embed="rId15"/>
                    <a:srcRect t="4524" b="7469"/>
                    <a:stretch/>
                  </pic:blipFill>
                  <pic:spPr bwMode="auto">
                    <a:xfrm>
                      <a:off x="0" y="0"/>
                      <a:ext cx="1801708" cy="1401329"/>
                    </a:xfrm>
                    <a:prstGeom prst="rect">
                      <a:avLst/>
                    </a:prstGeom>
                    <a:ln>
                      <a:noFill/>
                    </a:ln>
                    <a:extLst>
                      <a:ext uri="{53640926-AAD7-44D8-BBD7-CCE9431645EC}">
                        <a14:shadowObscured xmlns:a14="http://schemas.microsoft.com/office/drawing/2010/main"/>
                      </a:ext>
                    </a:extLst>
                  </pic:spPr>
                </pic:pic>
              </a:graphicData>
            </a:graphic>
          </wp:inline>
        </w:drawing>
      </w:r>
    </w:p>
    <w:p w14:paraId="6AC8A0EF"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09834792" w14:textId="77777777" w:rsidR="0083589C" w:rsidRPr="003865C9" w:rsidRDefault="0083589C" w:rsidP="00CE34E8">
      <w:pPr>
        <w:jc w:val="center"/>
        <w:rPr>
          <w:rFonts w:eastAsia="Times New Roman" w:cs="Times New Roman"/>
          <w:i/>
          <w:iCs/>
          <w:lang w:val="es-ES" w:eastAsia="es-ES"/>
        </w:rPr>
      </w:pPr>
    </w:p>
    <w:p w14:paraId="0CCF5855"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Con base en el tamaño del serpentín, las dimensiones del tanque son 38 cm de ancho y largo, con una altura de 22 cm. Estos valores se usan como un principio para el resto de los componentes del sistema.</w:t>
      </w:r>
    </w:p>
    <w:p w14:paraId="097C685C" w14:textId="77777777" w:rsidR="00CE34E8" w:rsidRPr="003865C9" w:rsidRDefault="00CE34E8" w:rsidP="00CE34E8">
      <w:pPr>
        <w:rPr>
          <w:rFonts w:eastAsia="Times New Roman" w:cs="Times New Roman"/>
          <w:lang w:val="es-ES" w:eastAsia="es-ES"/>
        </w:rPr>
      </w:pPr>
    </w:p>
    <w:p w14:paraId="04BC3CBC" w14:textId="73520B93" w:rsidR="00CE34E8" w:rsidRPr="003865C9" w:rsidRDefault="00CE34E8" w:rsidP="00CE34E8">
      <w:pPr>
        <w:pStyle w:val="Ttulo3"/>
      </w:pPr>
      <w:bookmarkStart w:id="7" w:name="_Toc101276621"/>
      <w:r w:rsidRPr="003865C9">
        <w:t>Cámara de combustión</w:t>
      </w:r>
      <w:bookmarkEnd w:id="7"/>
    </w:p>
    <w:p w14:paraId="4472AB53" w14:textId="77777777" w:rsidR="00CE34E8" w:rsidRPr="003865C9" w:rsidRDefault="00CE34E8" w:rsidP="00CE34E8">
      <w:pPr>
        <w:rPr>
          <w:rFonts w:eastAsia="Times New Roman" w:cs="Times New Roman"/>
          <w:b/>
          <w:i/>
          <w:lang w:eastAsia="es-ES"/>
        </w:rPr>
      </w:pPr>
    </w:p>
    <w:p w14:paraId="7E235D60" w14:textId="4227BAF5" w:rsidR="00CE34E8" w:rsidRPr="003865C9" w:rsidRDefault="00CE34E8" w:rsidP="00CE34E8">
      <w:pPr>
        <w:rPr>
          <w:rFonts w:eastAsia="Times New Roman" w:cs="Times New Roman"/>
          <w:lang w:eastAsia="es-ES"/>
        </w:rPr>
      </w:pPr>
      <w:r w:rsidRPr="003865C9">
        <w:rPr>
          <w:rFonts w:eastAsia="Times New Roman" w:cs="Times New Roman"/>
          <w:lang w:eastAsia="es-ES"/>
        </w:rPr>
        <w:t xml:space="preserve">En la cámara de combustión se realiza la quema de los pellets, este espacio debe contener los elementos que participan en la producción y transferencia del calor que se genera por la ignición de la biomasa, debe permitir el flujo del aire con el </w:t>
      </w:r>
      <w:r w:rsidR="006173B6" w:rsidRPr="003865C9">
        <w:rPr>
          <w:rFonts w:eastAsia="Times New Roman" w:cs="Times New Roman"/>
          <w:lang w:eastAsia="es-ES"/>
        </w:rPr>
        <w:t>oxígeno</w:t>
      </w:r>
      <w:r w:rsidRPr="003865C9">
        <w:rPr>
          <w:rFonts w:eastAsia="Times New Roman" w:cs="Times New Roman"/>
          <w:lang w:eastAsia="es-ES"/>
        </w:rPr>
        <w:t xml:space="preserve"> requerido y como medio de transporte por convección.</w:t>
      </w:r>
    </w:p>
    <w:p w14:paraId="2DC21DFE" w14:textId="77777777" w:rsidR="00CE34E8" w:rsidRDefault="00CE34E8" w:rsidP="00CE34E8">
      <w:pPr>
        <w:rPr>
          <w:rFonts w:eastAsia="Times New Roman" w:cs="Times New Roman"/>
          <w:lang w:eastAsia="es-ES"/>
        </w:rPr>
      </w:pPr>
    </w:p>
    <w:p w14:paraId="46D6A3C9" w14:textId="77777777" w:rsidR="006173B6" w:rsidRDefault="006173B6" w:rsidP="00CE34E8">
      <w:pPr>
        <w:rPr>
          <w:rFonts w:eastAsia="Times New Roman" w:cs="Times New Roman"/>
          <w:lang w:eastAsia="es-ES"/>
        </w:rPr>
      </w:pPr>
    </w:p>
    <w:p w14:paraId="33563C26" w14:textId="77777777" w:rsidR="006173B6" w:rsidRDefault="006173B6" w:rsidP="00CE34E8">
      <w:pPr>
        <w:rPr>
          <w:rFonts w:eastAsia="Times New Roman" w:cs="Times New Roman"/>
          <w:lang w:eastAsia="es-ES"/>
        </w:rPr>
      </w:pPr>
    </w:p>
    <w:p w14:paraId="0E4E4763" w14:textId="77777777" w:rsidR="006173B6" w:rsidRPr="003865C9" w:rsidRDefault="006173B6" w:rsidP="00CE34E8">
      <w:pPr>
        <w:rPr>
          <w:rFonts w:eastAsia="Times New Roman" w:cs="Times New Roman"/>
          <w:lang w:eastAsia="es-ES"/>
        </w:rPr>
      </w:pPr>
    </w:p>
    <w:p w14:paraId="0B056554" w14:textId="77777777" w:rsidR="00CE34E8" w:rsidRPr="003865C9" w:rsidRDefault="00CE34E8" w:rsidP="00CE34E8">
      <w:pPr>
        <w:jc w:val="center"/>
        <w:rPr>
          <w:rFonts w:eastAsia="Times New Roman" w:cs="Times New Roman"/>
          <w:iCs/>
          <w:lang w:val="es-ES" w:eastAsia="es-ES"/>
        </w:rPr>
      </w:pPr>
      <w:bookmarkStart w:id="8" w:name="_Toc101276584"/>
      <w:r w:rsidRPr="003865C9">
        <w:rPr>
          <w:rFonts w:eastAsia="Times New Roman" w:cs="Times New Roman"/>
          <w:iCs/>
          <w:lang w:val="es-ES" w:eastAsia="es-ES"/>
        </w:rPr>
        <w:lastRenderedPageBreak/>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5</w:t>
      </w:r>
      <w:r w:rsidRPr="003865C9">
        <w:rPr>
          <w:rFonts w:eastAsia="Times New Roman" w:cs="Times New Roman"/>
          <w:lang w:val="es-ES" w:eastAsia="es-ES"/>
        </w:rPr>
        <w:fldChar w:fldCharType="end"/>
      </w:r>
      <w:r w:rsidRPr="003865C9">
        <w:rPr>
          <w:rFonts w:eastAsia="Times New Roman" w:cs="Times New Roman"/>
          <w:iCs/>
          <w:lang w:val="es-ES" w:eastAsia="es-ES"/>
        </w:rPr>
        <w:t>. Cámara</w:t>
      </w:r>
      <w:bookmarkEnd w:id="8"/>
    </w:p>
    <w:p w14:paraId="690D0900"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2ACEF2FE" wp14:editId="7224AA96">
            <wp:extent cx="1208598" cy="1669773"/>
            <wp:effectExtent l="0" t="0" r="0" b="6985"/>
            <wp:docPr id="7" name="Imagen 7" descr="Rectángu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ectángulo&#10;&#10;Descripción generada automáticamente con confianza baja"/>
                    <pic:cNvPicPr/>
                  </pic:nvPicPr>
                  <pic:blipFill rotWithShape="1">
                    <a:blip r:embed="rId16"/>
                    <a:srcRect t="3525" b="3947"/>
                    <a:stretch/>
                  </pic:blipFill>
                  <pic:spPr bwMode="auto">
                    <a:xfrm>
                      <a:off x="0" y="0"/>
                      <a:ext cx="1224092" cy="1691179"/>
                    </a:xfrm>
                    <a:prstGeom prst="rect">
                      <a:avLst/>
                    </a:prstGeom>
                    <a:ln>
                      <a:noFill/>
                    </a:ln>
                    <a:extLst>
                      <a:ext uri="{53640926-AAD7-44D8-BBD7-CCE9431645EC}">
                        <a14:shadowObscured xmlns:a14="http://schemas.microsoft.com/office/drawing/2010/main"/>
                      </a:ext>
                    </a:extLst>
                  </pic:spPr>
                </pic:pic>
              </a:graphicData>
            </a:graphic>
          </wp:inline>
        </w:drawing>
      </w:r>
    </w:p>
    <w:p w14:paraId="0EE01D74"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31FF1218" w14:textId="77777777" w:rsidR="0083589C" w:rsidRPr="003865C9" w:rsidRDefault="0083589C" w:rsidP="00CE34E8">
      <w:pPr>
        <w:jc w:val="center"/>
        <w:rPr>
          <w:rFonts w:eastAsia="Times New Roman" w:cs="Times New Roman"/>
          <w:i/>
          <w:iCs/>
          <w:lang w:eastAsia="es-ES"/>
        </w:rPr>
      </w:pPr>
    </w:p>
    <w:p w14:paraId="2D447DDC"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En la ilustración 5 es posible apreciar elementos de la cámara que tienen como función ubicar componentes como el tanque y el paso del aire por sus correspondientes entradas y salidas. Adicionalmente se puede observar por dónde ingresan los pellets que es el cilindro interno, correspondiente al tornillo sin fin que transporta la biomasa.</w:t>
      </w:r>
    </w:p>
    <w:p w14:paraId="379D287B" w14:textId="77777777" w:rsidR="00CE34E8" w:rsidRPr="003865C9" w:rsidRDefault="00CE34E8" w:rsidP="00CE34E8">
      <w:pPr>
        <w:rPr>
          <w:rFonts w:eastAsia="Times New Roman" w:cs="Times New Roman"/>
          <w:lang w:eastAsia="es-ES"/>
        </w:rPr>
      </w:pPr>
    </w:p>
    <w:p w14:paraId="2326BC12" w14:textId="3B07337D" w:rsidR="00CE34E8" w:rsidRPr="003865C9" w:rsidRDefault="00CE34E8" w:rsidP="00CE34E8">
      <w:pPr>
        <w:pStyle w:val="Ttulo3"/>
      </w:pPr>
      <w:bookmarkStart w:id="9" w:name="_Toc101276622"/>
      <w:r w:rsidRPr="003865C9">
        <w:t>Canasta del combustible</w:t>
      </w:r>
      <w:bookmarkEnd w:id="9"/>
    </w:p>
    <w:p w14:paraId="2009B9A9" w14:textId="77777777" w:rsidR="00CE34E8" w:rsidRPr="003865C9" w:rsidRDefault="00CE34E8" w:rsidP="00CE34E8">
      <w:pPr>
        <w:rPr>
          <w:rFonts w:eastAsia="Times New Roman" w:cs="Times New Roman"/>
          <w:b/>
          <w:i/>
          <w:lang w:eastAsia="es-ES"/>
        </w:rPr>
      </w:pPr>
    </w:p>
    <w:p w14:paraId="302447EF" w14:textId="77777777" w:rsidR="00CE34E8" w:rsidRDefault="00CE34E8" w:rsidP="00CE34E8">
      <w:pPr>
        <w:rPr>
          <w:rFonts w:eastAsia="Times New Roman" w:cs="Times New Roman"/>
          <w:lang w:eastAsia="es-ES"/>
        </w:rPr>
      </w:pPr>
      <w:r w:rsidRPr="003865C9">
        <w:rPr>
          <w:rFonts w:eastAsia="Times New Roman" w:cs="Times New Roman"/>
          <w:lang w:eastAsia="es-ES"/>
        </w:rPr>
        <w:t>En este elemento se ubica la biomasa para ser quemada y generar el calor requerido para el proceso.</w:t>
      </w:r>
    </w:p>
    <w:p w14:paraId="6C1562AD" w14:textId="77777777" w:rsidR="006173B6" w:rsidRPr="003865C9" w:rsidRDefault="006173B6" w:rsidP="00CE34E8">
      <w:pPr>
        <w:rPr>
          <w:rFonts w:eastAsia="Times New Roman" w:cs="Times New Roman"/>
          <w:lang w:eastAsia="es-ES"/>
        </w:rPr>
      </w:pPr>
    </w:p>
    <w:p w14:paraId="7AE876DC" w14:textId="77777777" w:rsidR="00CE34E8" w:rsidRPr="003865C9" w:rsidRDefault="00CE34E8" w:rsidP="00CE34E8">
      <w:pPr>
        <w:jc w:val="center"/>
        <w:rPr>
          <w:rFonts w:eastAsia="Times New Roman" w:cs="Times New Roman"/>
          <w:iCs/>
          <w:lang w:val="es-ES" w:eastAsia="es-ES"/>
        </w:rPr>
      </w:pPr>
      <w:bookmarkStart w:id="10" w:name="_Toc101276585"/>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6</w:t>
      </w:r>
      <w:r w:rsidRPr="003865C9">
        <w:rPr>
          <w:rFonts w:eastAsia="Times New Roman" w:cs="Times New Roman"/>
          <w:lang w:val="es-ES" w:eastAsia="es-ES"/>
        </w:rPr>
        <w:fldChar w:fldCharType="end"/>
      </w:r>
      <w:r w:rsidRPr="003865C9">
        <w:rPr>
          <w:rFonts w:eastAsia="Times New Roman" w:cs="Times New Roman"/>
          <w:iCs/>
          <w:lang w:val="es-ES" w:eastAsia="es-ES"/>
        </w:rPr>
        <w:t>. Canasta</w:t>
      </w:r>
      <w:bookmarkEnd w:id="10"/>
    </w:p>
    <w:p w14:paraId="4324CA5C"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7964A867" wp14:editId="1920D572">
            <wp:extent cx="1916264" cy="1439186"/>
            <wp:effectExtent l="0" t="0" r="8255" b="8890"/>
            <wp:docPr id="8" name="Imagen 8"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en blanco y negro&#10;&#10;Descripción generada automáticamente con confianza baja"/>
                    <pic:cNvPicPr/>
                  </pic:nvPicPr>
                  <pic:blipFill rotWithShape="1">
                    <a:blip r:embed="rId17"/>
                    <a:srcRect t="4743" r="4743" b="-125"/>
                    <a:stretch/>
                  </pic:blipFill>
                  <pic:spPr bwMode="auto">
                    <a:xfrm>
                      <a:off x="0" y="0"/>
                      <a:ext cx="1926639" cy="1446978"/>
                    </a:xfrm>
                    <a:prstGeom prst="rect">
                      <a:avLst/>
                    </a:prstGeom>
                    <a:ln>
                      <a:noFill/>
                    </a:ln>
                    <a:extLst>
                      <a:ext uri="{53640926-AAD7-44D8-BBD7-CCE9431645EC}">
                        <a14:shadowObscured xmlns:a14="http://schemas.microsoft.com/office/drawing/2010/main"/>
                      </a:ext>
                    </a:extLst>
                  </pic:spPr>
                </pic:pic>
              </a:graphicData>
            </a:graphic>
          </wp:inline>
        </w:drawing>
      </w:r>
    </w:p>
    <w:p w14:paraId="2DD2E677"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4D6F8B2B" w14:textId="77777777" w:rsidR="0083589C" w:rsidRPr="003865C9" w:rsidRDefault="0083589C" w:rsidP="00CE34E8">
      <w:pPr>
        <w:rPr>
          <w:rFonts w:eastAsia="Times New Roman" w:cs="Times New Roman"/>
          <w:i/>
          <w:iCs/>
          <w:lang w:eastAsia="es-ES"/>
        </w:rPr>
      </w:pPr>
    </w:p>
    <w:p w14:paraId="00875B2B"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 xml:space="preserve">En la ilustración 6 se puede observar como la canasta se encuentra perforada para permitir el paso de las cenizas generadas en la combustión. La forma en la cual se </w:t>
      </w:r>
      <w:proofErr w:type="gramStart"/>
      <w:r w:rsidRPr="003865C9">
        <w:rPr>
          <w:rFonts w:eastAsia="Times New Roman" w:cs="Times New Roman"/>
          <w:lang w:eastAsia="es-ES"/>
        </w:rPr>
        <w:t>a</w:t>
      </w:r>
      <w:proofErr w:type="gramEnd"/>
      <w:r w:rsidRPr="003865C9">
        <w:rPr>
          <w:rFonts w:eastAsia="Times New Roman" w:cs="Times New Roman"/>
          <w:lang w:eastAsia="es-ES"/>
        </w:rPr>
        <w:t xml:space="preserve"> predispuesto es para generar una caída dirigida al centro de la cámara, con la inclinación aplicada.</w:t>
      </w:r>
    </w:p>
    <w:p w14:paraId="63C13A64" w14:textId="77777777" w:rsidR="00CE34E8" w:rsidRPr="003865C9" w:rsidRDefault="00CE34E8" w:rsidP="00CE34E8">
      <w:pPr>
        <w:rPr>
          <w:rFonts w:eastAsia="Times New Roman" w:cs="Times New Roman"/>
          <w:lang w:eastAsia="es-ES"/>
        </w:rPr>
      </w:pPr>
    </w:p>
    <w:p w14:paraId="06E9E9E5" w14:textId="7655D82C" w:rsidR="00CE34E8" w:rsidRPr="003865C9" w:rsidRDefault="00CE34E8" w:rsidP="00CE34E8">
      <w:pPr>
        <w:pStyle w:val="Ttulo2"/>
      </w:pPr>
      <w:bookmarkStart w:id="11" w:name="_Toc101276623"/>
      <w:r w:rsidRPr="003865C9">
        <w:t>Simulación del sistema de combustión</w:t>
      </w:r>
      <w:bookmarkEnd w:id="11"/>
    </w:p>
    <w:p w14:paraId="56BEB3C8" w14:textId="77777777" w:rsidR="00CE34E8" w:rsidRPr="003865C9" w:rsidRDefault="00CE34E8" w:rsidP="00CE34E8">
      <w:pPr>
        <w:rPr>
          <w:rFonts w:eastAsia="Times New Roman" w:cs="Times New Roman"/>
          <w:b/>
          <w:lang w:eastAsia="es-ES"/>
        </w:rPr>
      </w:pPr>
    </w:p>
    <w:p w14:paraId="6D03E555" w14:textId="77777777" w:rsidR="00CE34E8" w:rsidRDefault="00CE34E8" w:rsidP="00CE34E8">
      <w:pPr>
        <w:rPr>
          <w:rFonts w:eastAsia="Times New Roman" w:cs="Times New Roman"/>
          <w:lang w:eastAsia="es-ES"/>
        </w:rPr>
      </w:pPr>
      <w:r w:rsidRPr="003865C9">
        <w:rPr>
          <w:rFonts w:eastAsia="Times New Roman" w:cs="Times New Roman"/>
          <w:lang w:eastAsia="es-ES"/>
        </w:rPr>
        <w:t xml:space="preserve">En el desarrollo del sistema de combustión para el calentamiento del aire se implementa el análisis computacional de fluidos, con el propósito de tener una mayor comprensión del comportamiento del aire y el calor transferido por la combustión de la biomasa. </w:t>
      </w:r>
    </w:p>
    <w:p w14:paraId="0B776C27" w14:textId="77777777" w:rsidR="006173B6" w:rsidRDefault="006173B6" w:rsidP="00CE34E8">
      <w:pPr>
        <w:rPr>
          <w:rFonts w:eastAsia="Times New Roman" w:cs="Times New Roman"/>
          <w:lang w:eastAsia="es-ES"/>
        </w:rPr>
      </w:pPr>
    </w:p>
    <w:p w14:paraId="7F7CDDD2" w14:textId="77777777" w:rsidR="006173B6" w:rsidRDefault="006173B6" w:rsidP="00CE34E8">
      <w:pPr>
        <w:rPr>
          <w:rFonts w:eastAsia="Times New Roman" w:cs="Times New Roman"/>
          <w:lang w:eastAsia="es-ES"/>
        </w:rPr>
      </w:pPr>
    </w:p>
    <w:p w14:paraId="7456B054" w14:textId="77777777" w:rsidR="006173B6" w:rsidRDefault="006173B6" w:rsidP="00CE34E8">
      <w:pPr>
        <w:rPr>
          <w:rFonts w:eastAsia="Times New Roman" w:cs="Times New Roman"/>
          <w:lang w:eastAsia="es-ES"/>
        </w:rPr>
      </w:pPr>
    </w:p>
    <w:p w14:paraId="3CB78E10" w14:textId="77777777" w:rsidR="006173B6" w:rsidRDefault="006173B6" w:rsidP="00CE34E8">
      <w:pPr>
        <w:rPr>
          <w:rFonts w:eastAsia="Times New Roman" w:cs="Times New Roman"/>
          <w:lang w:eastAsia="es-ES"/>
        </w:rPr>
      </w:pPr>
    </w:p>
    <w:p w14:paraId="68D1C5EA" w14:textId="77777777" w:rsidR="006173B6" w:rsidRPr="003865C9" w:rsidRDefault="006173B6" w:rsidP="00CE34E8">
      <w:pPr>
        <w:rPr>
          <w:rFonts w:eastAsia="Times New Roman" w:cs="Times New Roman"/>
          <w:lang w:eastAsia="es-ES"/>
        </w:rPr>
      </w:pPr>
    </w:p>
    <w:p w14:paraId="4981DA60" w14:textId="77777777" w:rsidR="00CE34E8" w:rsidRPr="003865C9" w:rsidRDefault="00CE34E8" w:rsidP="00CE34E8">
      <w:pPr>
        <w:jc w:val="center"/>
        <w:rPr>
          <w:rFonts w:eastAsia="Times New Roman" w:cs="Times New Roman"/>
          <w:iCs/>
          <w:lang w:val="es-ES" w:eastAsia="es-ES"/>
        </w:rPr>
      </w:pPr>
      <w:bookmarkStart w:id="12" w:name="_Toc101276586"/>
      <w:r w:rsidRPr="003865C9">
        <w:rPr>
          <w:rFonts w:eastAsia="Times New Roman" w:cs="Times New Roman"/>
          <w:iCs/>
          <w:lang w:val="es-ES" w:eastAsia="es-ES"/>
        </w:rPr>
        <w:lastRenderedPageBreak/>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7</w:t>
      </w:r>
      <w:r w:rsidRPr="003865C9">
        <w:rPr>
          <w:rFonts w:eastAsia="Times New Roman" w:cs="Times New Roman"/>
          <w:lang w:val="es-ES" w:eastAsia="es-ES"/>
        </w:rPr>
        <w:fldChar w:fldCharType="end"/>
      </w:r>
      <w:r w:rsidRPr="003865C9">
        <w:rPr>
          <w:rFonts w:eastAsia="Times New Roman" w:cs="Times New Roman"/>
          <w:iCs/>
          <w:lang w:val="es-ES" w:eastAsia="es-ES"/>
        </w:rPr>
        <w:t>. Sistema de combustión</w:t>
      </w:r>
      <w:bookmarkEnd w:id="12"/>
    </w:p>
    <w:p w14:paraId="15A36F51"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21260D00" wp14:editId="02A5F51F">
            <wp:extent cx="1505539" cy="2162755"/>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rotWithShape="1">
                    <a:blip r:embed="rId18"/>
                    <a:srcRect t="6422" b="1835"/>
                    <a:stretch/>
                  </pic:blipFill>
                  <pic:spPr bwMode="auto">
                    <a:xfrm>
                      <a:off x="0" y="0"/>
                      <a:ext cx="1525217" cy="2191023"/>
                    </a:xfrm>
                    <a:prstGeom prst="rect">
                      <a:avLst/>
                    </a:prstGeom>
                    <a:ln>
                      <a:noFill/>
                    </a:ln>
                    <a:extLst>
                      <a:ext uri="{53640926-AAD7-44D8-BBD7-CCE9431645EC}">
                        <a14:shadowObscured xmlns:a14="http://schemas.microsoft.com/office/drawing/2010/main"/>
                      </a:ext>
                    </a:extLst>
                  </pic:spPr>
                </pic:pic>
              </a:graphicData>
            </a:graphic>
          </wp:inline>
        </w:drawing>
      </w:r>
    </w:p>
    <w:p w14:paraId="39F2331E" w14:textId="77777777" w:rsidR="00CE34E8" w:rsidRDefault="00CE34E8" w:rsidP="00CE34E8">
      <w:pPr>
        <w:jc w:val="center"/>
        <w:rPr>
          <w:rFonts w:eastAsia="Times New Roman" w:cs="Times New Roman"/>
          <w:i/>
          <w:iCs/>
          <w:lang w:eastAsia="es-ES"/>
        </w:rPr>
      </w:pPr>
      <w:r w:rsidRPr="003865C9">
        <w:rPr>
          <w:rFonts w:eastAsia="Times New Roman" w:cs="Times New Roman"/>
          <w:i/>
          <w:iCs/>
          <w:lang w:eastAsia="es-ES"/>
        </w:rPr>
        <w:t>Fuente: autores</w:t>
      </w:r>
    </w:p>
    <w:p w14:paraId="093C1549" w14:textId="77777777" w:rsidR="006173B6" w:rsidRPr="003865C9" w:rsidRDefault="006173B6" w:rsidP="00CE34E8">
      <w:pPr>
        <w:jc w:val="center"/>
        <w:rPr>
          <w:rFonts w:eastAsia="Times New Roman" w:cs="Times New Roman"/>
          <w:i/>
          <w:iCs/>
          <w:lang w:eastAsia="es-ES"/>
        </w:rPr>
      </w:pPr>
    </w:p>
    <w:p w14:paraId="1B9FE4AF" w14:textId="77777777" w:rsidR="00CE34E8" w:rsidRDefault="00CE34E8" w:rsidP="00CE34E8">
      <w:pPr>
        <w:rPr>
          <w:rFonts w:eastAsia="Times New Roman" w:cs="Times New Roman"/>
          <w:lang w:eastAsia="es-ES"/>
        </w:rPr>
      </w:pPr>
      <w:r w:rsidRPr="003865C9">
        <w:rPr>
          <w:rFonts w:eastAsia="Times New Roman" w:cs="Times New Roman"/>
          <w:lang w:eastAsia="es-ES"/>
        </w:rPr>
        <w:t>El primer paso para la simulación es realizar el ensamble con cada uno de los componentes, para este caso se agrega un elemento que es la biomasa representada en un bloque de madera. Posteriormente se deben establecer las condiciones de operación, como se muestra a continuación:</w:t>
      </w:r>
    </w:p>
    <w:p w14:paraId="6109418C" w14:textId="77777777" w:rsidR="006173B6" w:rsidRPr="003865C9" w:rsidRDefault="006173B6" w:rsidP="00CE34E8">
      <w:pPr>
        <w:rPr>
          <w:rFonts w:eastAsia="Times New Roman" w:cs="Times New Roman"/>
          <w:lang w:eastAsia="es-ES"/>
        </w:rPr>
      </w:pPr>
    </w:p>
    <w:p w14:paraId="6014DECB" w14:textId="77777777" w:rsidR="00CE34E8" w:rsidRPr="003865C9" w:rsidRDefault="00CE34E8" w:rsidP="00CE34E8">
      <w:pPr>
        <w:jc w:val="center"/>
        <w:rPr>
          <w:rFonts w:eastAsia="Times New Roman" w:cs="Times New Roman"/>
          <w:iCs/>
          <w:lang w:val="es-ES" w:eastAsia="es-ES"/>
        </w:rPr>
      </w:pPr>
      <w:bookmarkStart w:id="13" w:name="_Toc101276587"/>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8</w:t>
      </w:r>
      <w:r w:rsidRPr="003865C9">
        <w:rPr>
          <w:rFonts w:eastAsia="Times New Roman" w:cs="Times New Roman"/>
          <w:lang w:val="es-ES" w:eastAsia="es-ES"/>
        </w:rPr>
        <w:fldChar w:fldCharType="end"/>
      </w:r>
      <w:r w:rsidRPr="003865C9">
        <w:rPr>
          <w:rFonts w:eastAsia="Times New Roman" w:cs="Times New Roman"/>
          <w:iCs/>
          <w:lang w:val="es-ES" w:eastAsia="es-ES"/>
        </w:rPr>
        <w:t>. Condiciones de operación</w:t>
      </w:r>
      <w:bookmarkEnd w:id="13"/>
    </w:p>
    <w:p w14:paraId="1BB40E0E"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237C6DD9" wp14:editId="369445BF">
            <wp:extent cx="2669172" cy="1455088"/>
            <wp:effectExtent l="0" t="0" r="0" b="0"/>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19"/>
                    <a:stretch>
                      <a:fillRect/>
                    </a:stretch>
                  </pic:blipFill>
                  <pic:spPr>
                    <a:xfrm>
                      <a:off x="0" y="0"/>
                      <a:ext cx="2683521" cy="1462911"/>
                    </a:xfrm>
                    <a:prstGeom prst="rect">
                      <a:avLst/>
                    </a:prstGeom>
                  </pic:spPr>
                </pic:pic>
              </a:graphicData>
            </a:graphic>
          </wp:inline>
        </w:drawing>
      </w:r>
    </w:p>
    <w:p w14:paraId="6A2188E8"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4B3AD759" w14:textId="77777777" w:rsidR="0083589C" w:rsidRPr="003865C9" w:rsidRDefault="0083589C" w:rsidP="00CE34E8">
      <w:pPr>
        <w:jc w:val="center"/>
        <w:rPr>
          <w:rFonts w:eastAsia="Times New Roman" w:cs="Times New Roman"/>
          <w:i/>
          <w:iCs/>
          <w:lang w:eastAsia="es-ES"/>
        </w:rPr>
      </w:pPr>
    </w:p>
    <w:p w14:paraId="4476895A"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Estas condiciones representan valores como, caudales de los fluidos, calor generado por la biomasa, temperaturas iniciales, propiedades físicas de todos los elementos que participan como fluidos y material de las partes. En este caso en particular de estudio fue requerido agregar un fluido, para que cumpliera el requerimiento de almacenar la energía y estabilizar el proceso térmico.</w:t>
      </w:r>
    </w:p>
    <w:p w14:paraId="2B644C4C" w14:textId="77777777" w:rsidR="0083589C" w:rsidRPr="003865C9" w:rsidRDefault="0083589C" w:rsidP="00CE34E8">
      <w:pPr>
        <w:rPr>
          <w:rFonts w:eastAsia="Times New Roman" w:cs="Times New Roman"/>
          <w:lang w:eastAsia="es-ES"/>
        </w:rPr>
      </w:pPr>
    </w:p>
    <w:p w14:paraId="128022CE" w14:textId="77777777" w:rsidR="00CE34E8" w:rsidRPr="003865C9" w:rsidRDefault="00CE34E8" w:rsidP="00CE34E8">
      <w:pPr>
        <w:jc w:val="center"/>
        <w:rPr>
          <w:rFonts w:eastAsia="Times New Roman" w:cs="Times New Roman"/>
          <w:iCs/>
          <w:lang w:eastAsia="es-ES"/>
        </w:rPr>
      </w:pPr>
      <w:bookmarkStart w:id="14" w:name="_Toc101276507"/>
      <w:r w:rsidRPr="003865C9">
        <w:rPr>
          <w:rFonts w:eastAsia="Times New Roman" w:cs="Times New Roman"/>
          <w:iCs/>
          <w:lang w:val="es-ES" w:eastAsia="es-ES"/>
        </w:rPr>
        <w:t xml:space="preserve">Tabla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Tabla \* ARABIC </w:instrText>
      </w:r>
      <w:r w:rsidRPr="003865C9">
        <w:rPr>
          <w:rFonts w:eastAsia="Times New Roman" w:cs="Times New Roman"/>
          <w:iCs/>
          <w:lang w:val="es-ES" w:eastAsia="es-ES"/>
        </w:rPr>
        <w:fldChar w:fldCharType="separate"/>
      </w:r>
      <w:r w:rsidRPr="003865C9">
        <w:rPr>
          <w:rFonts w:eastAsia="Times New Roman" w:cs="Times New Roman"/>
          <w:iCs/>
          <w:lang w:val="es-ES" w:eastAsia="es-ES"/>
        </w:rPr>
        <w:t>1</w:t>
      </w:r>
      <w:r w:rsidRPr="003865C9">
        <w:rPr>
          <w:rFonts w:eastAsia="Times New Roman" w:cs="Times New Roman"/>
          <w:lang w:val="es-ES" w:eastAsia="es-ES"/>
        </w:rPr>
        <w:fldChar w:fldCharType="end"/>
      </w:r>
      <w:r w:rsidRPr="003865C9">
        <w:rPr>
          <w:rFonts w:eastAsia="Times New Roman" w:cs="Times New Roman"/>
          <w:iCs/>
          <w:lang w:val="es-ES" w:eastAsia="es-ES"/>
        </w:rPr>
        <w:t>. Propiedades del aceite</w:t>
      </w:r>
      <w:bookmarkEnd w:id="14"/>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2"/>
        <w:gridCol w:w="868"/>
        <w:gridCol w:w="797"/>
        <w:gridCol w:w="1112"/>
      </w:tblGrid>
      <w:tr w:rsidR="00CE34E8" w:rsidRPr="003865C9" w14:paraId="1C054180" w14:textId="77777777" w:rsidTr="0083589C">
        <w:trPr>
          <w:jc w:val="center"/>
        </w:trPr>
        <w:tc>
          <w:tcPr>
            <w:tcW w:w="1765" w:type="dxa"/>
            <w:tcBorders>
              <w:top w:val="single" w:sz="4" w:space="0" w:color="auto"/>
              <w:bottom w:val="single" w:sz="4" w:space="0" w:color="auto"/>
            </w:tcBorders>
            <w:vAlign w:val="center"/>
          </w:tcPr>
          <w:p w14:paraId="58C3FBE5"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eastAsia="es-ES"/>
              </w:rPr>
              <w:t>Temperatura (</w:t>
            </w:r>
            <w:proofErr w:type="spellStart"/>
            <w:r w:rsidRPr="003865C9">
              <w:rPr>
                <w:rFonts w:ascii="Times New Roman" w:eastAsia="Calibri" w:hAnsi="Times New Roman" w:cs="Times New Roman"/>
                <w:b/>
                <w:bCs/>
                <w:sz w:val="20"/>
                <w:szCs w:val="20"/>
                <w:lang w:eastAsia="es-ES"/>
              </w:rPr>
              <w:t>°K</w:t>
            </w:r>
            <w:proofErr w:type="spellEnd"/>
            <w:r w:rsidRPr="003865C9">
              <w:rPr>
                <w:rFonts w:ascii="Times New Roman" w:eastAsia="Calibri" w:hAnsi="Times New Roman" w:cs="Times New Roman"/>
                <w:b/>
                <w:bCs/>
                <w:sz w:val="20"/>
                <w:szCs w:val="20"/>
                <w:lang w:eastAsia="es-ES"/>
              </w:rPr>
              <w:t>)</w:t>
            </w:r>
          </w:p>
        </w:tc>
        <w:tc>
          <w:tcPr>
            <w:tcW w:w="1765" w:type="dxa"/>
            <w:tcBorders>
              <w:top w:val="single" w:sz="4" w:space="0" w:color="auto"/>
              <w:bottom w:val="single" w:sz="4" w:space="0" w:color="auto"/>
            </w:tcBorders>
            <w:vAlign w:val="center"/>
          </w:tcPr>
          <w:p w14:paraId="71A36FD5"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eastAsia="es-ES"/>
              </w:rPr>
              <w:t>Densidad (Kg/m</w:t>
            </w:r>
            <w:r w:rsidRPr="003865C9">
              <w:rPr>
                <w:rFonts w:ascii="Times New Roman" w:eastAsia="Calibri" w:hAnsi="Times New Roman" w:cs="Times New Roman"/>
                <w:b/>
                <w:bCs/>
                <w:sz w:val="20"/>
                <w:szCs w:val="20"/>
                <w:vertAlign w:val="superscript"/>
                <w:lang w:eastAsia="es-ES"/>
              </w:rPr>
              <w:t>3</w:t>
            </w:r>
            <w:r w:rsidRPr="003865C9">
              <w:rPr>
                <w:rFonts w:ascii="Times New Roman" w:eastAsia="Calibri" w:hAnsi="Times New Roman" w:cs="Times New Roman"/>
                <w:b/>
                <w:bCs/>
                <w:sz w:val="20"/>
                <w:szCs w:val="20"/>
                <w:lang w:eastAsia="es-ES"/>
              </w:rPr>
              <w:t>)</w:t>
            </w:r>
          </w:p>
        </w:tc>
        <w:tc>
          <w:tcPr>
            <w:tcW w:w="1766" w:type="dxa"/>
            <w:tcBorders>
              <w:top w:val="single" w:sz="4" w:space="0" w:color="auto"/>
              <w:bottom w:val="single" w:sz="4" w:space="0" w:color="auto"/>
            </w:tcBorders>
            <w:vAlign w:val="center"/>
          </w:tcPr>
          <w:p w14:paraId="260630F2"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eastAsia="es-ES"/>
              </w:rPr>
              <w:t>Viscosidad dinámica (</w:t>
            </w:r>
            <w:proofErr w:type="spellStart"/>
            <w:r w:rsidRPr="003865C9">
              <w:rPr>
                <w:rFonts w:ascii="Times New Roman" w:eastAsia="Calibri" w:hAnsi="Times New Roman" w:cs="Times New Roman"/>
                <w:b/>
                <w:bCs/>
                <w:sz w:val="20"/>
                <w:szCs w:val="20"/>
                <w:lang w:eastAsia="es-ES"/>
              </w:rPr>
              <w:t>Pa</w:t>
            </w:r>
            <w:proofErr w:type="spellEnd"/>
            <w:r w:rsidRPr="003865C9">
              <w:rPr>
                <w:rFonts w:ascii="Times New Roman" w:eastAsia="Calibri" w:hAnsi="Times New Roman" w:cs="Times New Roman"/>
                <w:b/>
                <w:bCs/>
                <w:sz w:val="20"/>
                <w:szCs w:val="20"/>
                <w:lang w:eastAsia="es-ES"/>
              </w:rPr>
              <w:t>*s)</w:t>
            </w:r>
          </w:p>
        </w:tc>
        <w:tc>
          <w:tcPr>
            <w:tcW w:w="1766" w:type="dxa"/>
            <w:tcBorders>
              <w:top w:val="single" w:sz="4" w:space="0" w:color="auto"/>
              <w:bottom w:val="single" w:sz="4" w:space="0" w:color="auto"/>
            </w:tcBorders>
            <w:vAlign w:val="center"/>
          </w:tcPr>
          <w:p w14:paraId="56908369"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eastAsia="es-ES"/>
              </w:rPr>
              <w:t>Calor especifico (J/kg*K)</w:t>
            </w:r>
          </w:p>
        </w:tc>
        <w:tc>
          <w:tcPr>
            <w:tcW w:w="1766" w:type="dxa"/>
            <w:tcBorders>
              <w:top w:val="single" w:sz="4" w:space="0" w:color="auto"/>
              <w:bottom w:val="single" w:sz="4" w:space="0" w:color="auto"/>
            </w:tcBorders>
            <w:vAlign w:val="center"/>
          </w:tcPr>
          <w:p w14:paraId="010E48A3"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eastAsia="es-ES"/>
              </w:rPr>
              <w:t>Conductividad térmica (W/(m*K)</w:t>
            </w:r>
          </w:p>
        </w:tc>
      </w:tr>
      <w:tr w:rsidR="00CE34E8" w:rsidRPr="003865C9" w14:paraId="550395E8" w14:textId="77777777" w:rsidTr="0083589C">
        <w:trPr>
          <w:jc w:val="center"/>
        </w:trPr>
        <w:tc>
          <w:tcPr>
            <w:tcW w:w="1765" w:type="dxa"/>
            <w:tcBorders>
              <w:top w:val="single" w:sz="4" w:space="0" w:color="auto"/>
            </w:tcBorders>
            <w:vAlign w:val="center"/>
          </w:tcPr>
          <w:p w14:paraId="10AE8C64"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300</w:t>
            </w:r>
          </w:p>
        </w:tc>
        <w:tc>
          <w:tcPr>
            <w:tcW w:w="1765" w:type="dxa"/>
            <w:tcBorders>
              <w:top w:val="single" w:sz="4" w:space="0" w:color="auto"/>
            </w:tcBorders>
            <w:vAlign w:val="center"/>
          </w:tcPr>
          <w:p w14:paraId="134CA2D9"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1058</w:t>
            </w:r>
          </w:p>
        </w:tc>
        <w:tc>
          <w:tcPr>
            <w:tcW w:w="1766" w:type="dxa"/>
            <w:tcBorders>
              <w:top w:val="single" w:sz="4" w:space="0" w:color="auto"/>
            </w:tcBorders>
            <w:vAlign w:val="center"/>
          </w:tcPr>
          <w:p w14:paraId="7E1017BD"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0.00357</w:t>
            </w:r>
          </w:p>
        </w:tc>
        <w:tc>
          <w:tcPr>
            <w:tcW w:w="1766" w:type="dxa"/>
            <w:tcBorders>
              <w:top w:val="single" w:sz="4" w:space="0" w:color="auto"/>
            </w:tcBorders>
            <w:vAlign w:val="center"/>
          </w:tcPr>
          <w:p w14:paraId="4A6B98FF"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1570</w:t>
            </w:r>
          </w:p>
        </w:tc>
        <w:tc>
          <w:tcPr>
            <w:tcW w:w="1766" w:type="dxa"/>
            <w:tcBorders>
              <w:top w:val="single" w:sz="4" w:space="0" w:color="auto"/>
            </w:tcBorders>
            <w:vAlign w:val="center"/>
          </w:tcPr>
          <w:p w14:paraId="1CD93CF0"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0.1357</w:t>
            </w:r>
          </w:p>
        </w:tc>
      </w:tr>
      <w:tr w:rsidR="00CE34E8" w:rsidRPr="003865C9" w14:paraId="64B2BF41" w14:textId="77777777" w:rsidTr="0083589C">
        <w:trPr>
          <w:jc w:val="center"/>
        </w:trPr>
        <w:tc>
          <w:tcPr>
            <w:tcW w:w="1765" w:type="dxa"/>
            <w:vAlign w:val="center"/>
          </w:tcPr>
          <w:p w14:paraId="059AD381"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400</w:t>
            </w:r>
          </w:p>
        </w:tc>
        <w:tc>
          <w:tcPr>
            <w:tcW w:w="1765" w:type="dxa"/>
            <w:vAlign w:val="center"/>
          </w:tcPr>
          <w:p w14:paraId="1FB0B6C2"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977</w:t>
            </w:r>
          </w:p>
        </w:tc>
        <w:tc>
          <w:tcPr>
            <w:tcW w:w="1766" w:type="dxa"/>
            <w:vAlign w:val="center"/>
          </w:tcPr>
          <w:p w14:paraId="59600179"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0.000739</w:t>
            </w:r>
          </w:p>
        </w:tc>
        <w:tc>
          <w:tcPr>
            <w:tcW w:w="1766" w:type="dxa"/>
            <w:vAlign w:val="center"/>
          </w:tcPr>
          <w:p w14:paraId="5325665B"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1850</w:t>
            </w:r>
          </w:p>
        </w:tc>
        <w:tc>
          <w:tcPr>
            <w:tcW w:w="1766" w:type="dxa"/>
            <w:vAlign w:val="center"/>
          </w:tcPr>
          <w:p w14:paraId="5CD4A45F"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0.12425</w:t>
            </w:r>
          </w:p>
        </w:tc>
      </w:tr>
      <w:tr w:rsidR="00CE34E8" w:rsidRPr="003865C9" w14:paraId="080E3622" w14:textId="77777777" w:rsidTr="0083589C">
        <w:trPr>
          <w:jc w:val="center"/>
        </w:trPr>
        <w:tc>
          <w:tcPr>
            <w:tcW w:w="1765" w:type="dxa"/>
            <w:tcBorders>
              <w:bottom w:val="single" w:sz="4" w:space="0" w:color="auto"/>
            </w:tcBorders>
            <w:vAlign w:val="center"/>
          </w:tcPr>
          <w:p w14:paraId="38600C49"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500</w:t>
            </w:r>
          </w:p>
        </w:tc>
        <w:tc>
          <w:tcPr>
            <w:tcW w:w="1765" w:type="dxa"/>
            <w:tcBorders>
              <w:bottom w:val="single" w:sz="4" w:space="0" w:color="auto"/>
            </w:tcBorders>
            <w:vAlign w:val="center"/>
          </w:tcPr>
          <w:p w14:paraId="57C42708"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889</w:t>
            </w:r>
          </w:p>
        </w:tc>
        <w:tc>
          <w:tcPr>
            <w:tcW w:w="1766" w:type="dxa"/>
            <w:tcBorders>
              <w:bottom w:val="single" w:sz="4" w:space="0" w:color="auto"/>
            </w:tcBorders>
            <w:vAlign w:val="center"/>
          </w:tcPr>
          <w:p w14:paraId="1B1A47EF"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0.000331</w:t>
            </w:r>
          </w:p>
        </w:tc>
        <w:tc>
          <w:tcPr>
            <w:tcW w:w="1766" w:type="dxa"/>
            <w:tcBorders>
              <w:bottom w:val="single" w:sz="4" w:space="0" w:color="auto"/>
            </w:tcBorders>
            <w:vAlign w:val="center"/>
          </w:tcPr>
          <w:p w14:paraId="5A46501F"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2120</w:t>
            </w:r>
          </w:p>
        </w:tc>
        <w:tc>
          <w:tcPr>
            <w:tcW w:w="1766" w:type="dxa"/>
            <w:tcBorders>
              <w:bottom w:val="single" w:sz="4" w:space="0" w:color="auto"/>
            </w:tcBorders>
            <w:vAlign w:val="center"/>
          </w:tcPr>
          <w:p w14:paraId="567CAD39" w14:textId="77777777" w:rsidR="00CE34E8" w:rsidRPr="003865C9" w:rsidRDefault="00CE34E8" w:rsidP="00CE34E8">
            <w:pPr>
              <w:rPr>
                <w:rFonts w:ascii="Times New Roman" w:eastAsia="Calibri" w:hAnsi="Times New Roman" w:cs="Times New Roman"/>
                <w:sz w:val="20"/>
                <w:szCs w:val="20"/>
                <w:lang w:eastAsia="es-ES"/>
              </w:rPr>
            </w:pPr>
            <w:r w:rsidRPr="003865C9">
              <w:rPr>
                <w:rFonts w:ascii="Times New Roman" w:eastAsia="Calibri" w:hAnsi="Times New Roman" w:cs="Times New Roman"/>
                <w:sz w:val="20"/>
                <w:szCs w:val="20"/>
                <w:lang w:eastAsia="es-ES"/>
              </w:rPr>
              <w:t>0.109</w:t>
            </w:r>
          </w:p>
        </w:tc>
      </w:tr>
    </w:tbl>
    <w:p w14:paraId="243F6256" w14:textId="537E091B" w:rsidR="00CE34E8" w:rsidRPr="003865C9" w:rsidRDefault="00CE34E8" w:rsidP="00CE34E8">
      <w:pPr>
        <w:jc w:val="center"/>
        <w:rPr>
          <w:rFonts w:eastAsia="Times New Roman" w:cs="Times New Roman"/>
          <w:lang w:val="es-ES" w:eastAsia="es-ES"/>
        </w:rPr>
      </w:pPr>
      <w:r w:rsidRPr="003865C9">
        <w:rPr>
          <w:rFonts w:eastAsia="Times New Roman" w:cs="Times New Roman"/>
          <w:i/>
          <w:iCs/>
          <w:lang w:eastAsia="es-ES"/>
        </w:rPr>
        <w:t xml:space="preserve">Fuente: </w:t>
      </w:r>
      <w:r w:rsidRPr="003865C9">
        <w:rPr>
          <w:rFonts w:eastAsia="Times New Roman" w:cs="Times New Roman"/>
          <w:i/>
          <w:iCs/>
          <w:lang w:eastAsia="es-ES"/>
        </w:rPr>
        <w:fldChar w:fldCharType="begin" w:fldLock="1"/>
      </w:r>
      <w:r w:rsidR="00806391" w:rsidRPr="003865C9">
        <w:rPr>
          <w:rFonts w:eastAsia="Times New Roman" w:cs="Times New Roman"/>
          <w:i/>
          <w:iCs/>
          <w:lang w:eastAsia="es-ES"/>
        </w:rPr>
        <w:instrText>ADDIN CSL_CITATION {"citationItems":[{"id":"ITEM-1","itemData":{"DOI":"10.1016/j.renene.2019.06.038","ISSN":"18790682","abstract":"This paper investigates the performance of a solar cabinet drying system equipped with a heat pipe evacuated tube solar collector (ETSC) and thermal storage system with application of PCM. The thermal analysis of the solar collector, drying efficiency, CFD modeling of the system and quality evaluation of dried apple slices was considered. The performance of the dryer was simulated and validated by experimental data. The experiments was conducted at three air flow rates (0.025, 0.05 and 0.09 kg/s) for the drying system with and without using PCM for drying apple slices with the thickness of 5 mm. The result of thermal analysis showed that using PCM increases the input thermal energy about 1.72% and 5.12% for the air flow rates of 0.025 and 0.05 kg/s respectively, but excessive increase in air flow rate (up to 0.05 kg/s) decreases input thermal energy. The maximum overall drying efficiency was related to the system with PCM at the air flow rate of 0.025 kg/s and it was 39.9%. CFD simulation of the storage system and the dryer showed that there is a good agreement between the simulated and experimental. Using PCM has no adverse effect on the quality of the dried product.","author":[{"dropping-particle":"","family":"Iranmanesh","given":"Masoud","non-dropping-particle":"","parse-names":false,"suffix":""},{"dropping-particle":"","family":"Samimi Akhijahani","given":"Hadi","non-dropping-particle":"","parse-names":false,"suffix":""},{"dropping-particle":"","family":"Barghi Jahromi","given":"Mohammad Saleh","non-dropping-particle":"","parse-names":false,"suffix":""}],"container-title":"Renewable Energy","id":"ITEM-1","issued":{"date-parts":[["2020"]]},"page":"1192-1213","publisher":"Elsevier Ltd","title":"CFD modeling and evaluation the performance of a solar cabinet dryer equipped with evacuated tube solar collector and thermal storage system","type":"article-journal","volume":"145"},"uris":["http://www.mendeley.com/documents/?uuid=8489dcba-a5cf-4fde-bdfd-77ddb01f3577","http://www.mendeley.com/documents/?uuid=0932e716-e4b0-4151-aff0-ea03ccdf154b"]}],"mendeley":{"formattedCitation":"[16]","plainTextFormattedCitation":"[16]","previouslyFormattedCitation":"(Iranmanesh, Samimi Akhijahani, &amp; Barghi Jahromi, 2020)"},"properties":{"noteIndex":0},"schema":"https://github.com/citation-style-language/schema/raw/master/csl-citation.json"}</w:instrText>
      </w:r>
      <w:r w:rsidRPr="003865C9">
        <w:rPr>
          <w:rFonts w:eastAsia="Times New Roman" w:cs="Times New Roman"/>
          <w:i/>
          <w:iCs/>
          <w:lang w:eastAsia="es-ES"/>
        </w:rPr>
        <w:fldChar w:fldCharType="separate"/>
      </w:r>
      <w:r w:rsidR="00806391" w:rsidRPr="003865C9">
        <w:rPr>
          <w:rFonts w:eastAsia="Times New Roman" w:cs="Times New Roman"/>
          <w:iCs/>
          <w:noProof/>
          <w:lang w:eastAsia="es-ES"/>
        </w:rPr>
        <w:t>[16]</w:t>
      </w:r>
      <w:r w:rsidRPr="003865C9">
        <w:rPr>
          <w:rFonts w:eastAsia="Times New Roman" w:cs="Times New Roman"/>
          <w:lang w:val="es-ES" w:eastAsia="es-ES"/>
        </w:rPr>
        <w:fldChar w:fldCharType="end"/>
      </w:r>
    </w:p>
    <w:p w14:paraId="2EAC489F"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lastRenderedPageBreak/>
        <w:t>Por otro lado, es preciso destacar la importancia de seleccionar un buen aislamiento térmico para el sistema debido a que las pérdidas de calor por las paredes de la cámara de combustión llevan a una alta ineficiencia del sistema. El calor generado se trabaja en base a valores bibliográficos de la biomasa promedio que señalan un poder calorífico cercano a los 17 MJ/kg y con un flujo aproximado de 1 kg por hora, adicionalmente como en la bibliografía se establece que parte del calor generado en la combustión de la biomasa se pierde en la evaporación del agua interna se aplica un 20% de ineficiencia con lo cual se calcula un calor generado aproximado de 3889 W.</w:t>
      </w:r>
    </w:p>
    <w:p w14:paraId="226ACB43" w14:textId="77777777" w:rsidR="00CE34E8" w:rsidRPr="003865C9" w:rsidRDefault="00CE34E8" w:rsidP="00CE34E8">
      <w:pPr>
        <w:rPr>
          <w:rFonts w:eastAsia="Times New Roman" w:cs="Times New Roman"/>
          <w:lang w:eastAsia="es-ES"/>
        </w:rPr>
      </w:pPr>
    </w:p>
    <w:p w14:paraId="76049876" w14:textId="34E2BF06" w:rsidR="00CE34E8" w:rsidRPr="003865C9" w:rsidRDefault="00CE34E8" w:rsidP="00CE34E8">
      <w:pPr>
        <w:pStyle w:val="Ttulo3"/>
      </w:pPr>
      <w:bookmarkStart w:id="15" w:name="_Toc101276624"/>
      <w:r w:rsidRPr="003865C9">
        <w:t>Análisis computacional</w:t>
      </w:r>
      <w:bookmarkEnd w:id="15"/>
    </w:p>
    <w:p w14:paraId="2959DFE1" w14:textId="77777777" w:rsidR="00CE34E8" w:rsidRPr="003865C9" w:rsidRDefault="00CE34E8" w:rsidP="00CE34E8">
      <w:pPr>
        <w:rPr>
          <w:rFonts w:eastAsia="Times New Roman" w:cs="Times New Roman"/>
          <w:b/>
          <w:i/>
          <w:lang w:eastAsia="es-ES"/>
        </w:rPr>
      </w:pPr>
    </w:p>
    <w:p w14:paraId="77EE7BB3"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El objeto del análisis computacional se encuentra representado en tener una visión más precisa de como los fluidos participantes del sistema de combustión se comportan en un estado estable, esto es importante tenerlo claro porque el comportamiento natural y real siempre se mantiene en un estado transitorio, teniendo en cuenta las variaciones del proceso de combustión.</w:t>
      </w:r>
    </w:p>
    <w:p w14:paraId="130C6E60" w14:textId="77777777" w:rsidR="00CE34E8" w:rsidRPr="003865C9" w:rsidRDefault="00CE34E8" w:rsidP="00CE34E8">
      <w:pPr>
        <w:rPr>
          <w:rFonts w:eastAsia="Times New Roman" w:cs="Times New Roman"/>
          <w:lang w:eastAsia="es-ES"/>
        </w:rPr>
      </w:pPr>
    </w:p>
    <w:p w14:paraId="5EF32560" w14:textId="77777777" w:rsidR="00CE34E8" w:rsidRPr="003865C9" w:rsidRDefault="00CE34E8" w:rsidP="00CE34E8">
      <w:pPr>
        <w:jc w:val="center"/>
        <w:rPr>
          <w:rFonts w:eastAsia="Times New Roman" w:cs="Times New Roman"/>
          <w:iCs/>
          <w:lang w:val="es-ES" w:eastAsia="es-ES"/>
        </w:rPr>
      </w:pPr>
      <w:bookmarkStart w:id="16" w:name="_Toc101276588"/>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9</w:t>
      </w:r>
      <w:r w:rsidRPr="003865C9">
        <w:rPr>
          <w:rFonts w:eastAsia="Times New Roman" w:cs="Times New Roman"/>
          <w:lang w:val="es-ES" w:eastAsia="es-ES"/>
        </w:rPr>
        <w:fldChar w:fldCharType="end"/>
      </w:r>
      <w:r w:rsidRPr="003865C9">
        <w:rPr>
          <w:rFonts w:eastAsia="Times New Roman" w:cs="Times New Roman"/>
          <w:iCs/>
          <w:lang w:val="es-ES" w:eastAsia="es-ES"/>
        </w:rPr>
        <w:t>. Análisis computacional</w:t>
      </w:r>
      <w:bookmarkEnd w:id="16"/>
    </w:p>
    <w:p w14:paraId="30EDBF2C"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3E4566C2" wp14:editId="2CCF2E72">
            <wp:extent cx="2631247" cy="1796994"/>
            <wp:effectExtent l="0" t="0" r="0" b="0"/>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exto&#10;&#10;Descripción generada automáticamente"/>
                    <pic:cNvPicPr/>
                  </pic:nvPicPr>
                  <pic:blipFill rotWithShape="1">
                    <a:blip r:embed="rId20"/>
                    <a:srcRect t="5691" b="2439"/>
                    <a:stretch/>
                  </pic:blipFill>
                  <pic:spPr bwMode="auto">
                    <a:xfrm>
                      <a:off x="0" y="0"/>
                      <a:ext cx="2641538" cy="1804022"/>
                    </a:xfrm>
                    <a:prstGeom prst="rect">
                      <a:avLst/>
                    </a:prstGeom>
                    <a:ln>
                      <a:noFill/>
                    </a:ln>
                    <a:extLst>
                      <a:ext uri="{53640926-AAD7-44D8-BBD7-CCE9431645EC}">
                        <a14:shadowObscured xmlns:a14="http://schemas.microsoft.com/office/drawing/2010/main"/>
                      </a:ext>
                    </a:extLst>
                  </pic:spPr>
                </pic:pic>
              </a:graphicData>
            </a:graphic>
          </wp:inline>
        </w:drawing>
      </w:r>
    </w:p>
    <w:p w14:paraId="33B96341"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5F24C65D" w14:textId="77777777" w:rsidR="0083589C" w:rsidRPr="003865C9" w:rsidRDefault="0083589C" w:rsidP="00CE34E8">
      <w:pPr>
        <w:jc w:val="center"/>
        <w:rPr>
          <w:rFonts w:eastAsia="Times New Roman" w:cs="Times New Roman"/>
          <w:i/>
          <w:iCs/>
          <w:lang w:eastAsia="es-ES"/>
        </w:rPr>
      </w:pPr>
    </w:p>
    <w:p w14:paraId="46516D15"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Como se aprecia en la ilustración 13 la temperatura en el sistema se ve representado por la variación del color, el aire para la combustión ingresa a temperatura ambiente de 20 °C y con el calor generado en la biomasa el sistema comienza a distribuir la energía calculando el estado estable. La máxima temperatura se encuentra en la parte interior de la canasta alcanzado los 510 °C. Por otro lado, el aire participante de la combustión sale de la cámara a una temperatura aproximada de 76 °C y la temperatura del aire que se calienta para el proceso productivo logra una temperatura de 106 °C en ambos casos la temperatura inicial es igual a 20 °C. Mediante el uso de las siguientes ecuaciones se analiza la eficiencia del sistema.</w:t>
      </w:r>
    </w:p>
    <w:p w14:paraId="20DAD320" w14:textId="77777777" w:rsidR="0083589C" w:rsidRPr="003865C9" w:rsidRDefault="0083589C" w:rsidP="00CE34E8">
      <w:pPr>
        <w:rPr>
          <w:rFonts w:eastAsia="Times New Roman" w:cs="Times New Roman"/>
          <w:lang w:eastAsia="es-ES"/>
        </w:rPr>
      </w:pPr>
    </w:p>
    <w:p w14:paraId="3CD2976B" w14:textId="77777777" w:rsidR="00CE34E8" w:rsidRPr="003865C9" w:rsidRDefault="00CE34E8" w:rsidP="00CE34E8">
      <w:pPr>
        <w:rPr>
          <w:rFonts w:eastAsia="Times New Roman" w:cs="Times New Roman"/>
          <w:iCs/>
          <w:lang w:val="es-ES" w:eastAsia="es-ES"/>
        </w:rPr>
      </w:pPr>
      <m:oMath>
        <m:r>
          <w:rPr>
            <w:rFonts w:ascii="Cambria Math" w:eastAsia="Times New Roman" w:hAnsi="Cambria Math" w:cs="Times New Roman"/>
            <w:lang w:val="es-ES" w:eastAsia="es-ES"/>
          </w:rPr>
          <m:t>Q=</m:t>
        </m:r>
        <m:acc>
          <m:accPr>
            <m:chr m:val="̇"/>
            <m:ctrlPr>
              <w:rPr>
                <w:rFonts w:ascii="Cambria Math" w:eastAsia="Times New Roman" w:hAnsi="Cambria Math" w:cs="Times New Roman"/>
                <w:i/>
                <w:iCs/>
                <w:lang w:val="es-ES" w:eastAsia="es-ES"/>
              </w:rPr>
            </m:ctrlPr>
          </m:accPr>
          <m:e>
            <m:r>
              <w:rPr>
                <w:rFonts w:ascii="Cambria Math" w:eastAsia="Times New Roman" w:hAnsi="Cambria Math" w:cs="Times New Roman"/>
                <w:lang w:val="es-ES" w:eastAsia="es-ES"/>
              </w:rPr>
              <m:t>m</m:t>
            </m:r>
          </m:e>
        </m:acc>
        <m:r>
          <w:rPr>
            <w:rFonts w:ascii="Cambria Math" w:eastAsia="Times New Roman" w:hAnsi="Cambria Math" w:cs="Times New Roman"/>
            <w:lang w:val="es-ES" w:eastAsia="es-ES"/>
          </w:rPr>
          <m:t>*</m:t>
        </m:r>
        <m:sSub>
          <m:sSubPr>
            <m:ctrlPr>
              <w:rPr>
                <w:rFonts w:ascii="Cambria Math" w:eastAsia="Times New Roman" w:hAnsi="Cambria Math" w:cs="Times New Roman"/>
                <w:i/>
                <w:iCs/>
                <w:lang w:val="es-ES" w:eastAsia="es-ES"/>
              </w:rPr>
            </m:ctrlPr>
          </m:sSubPr>
          <m:e>
            <m:r>
              <w:rPr>
                <w:rFonts w:ascii="Cambria Math" w:eastAsia="Times New Roman" w:hAnsi="Cambria Math" w:cs="Times New Roman"/>
                <w:lang w:val="es-ES" w:eastAsia="es-ES"/>
              </w:rPr>
              <m:t>C</m:t>
            </m:r>
          </m:e>
          <m:sub>
            <m:r>
              <w:rPr>
                <w:rFonts w:ascii="Cambria Math" w:eastAsia="Times New Roman" w:hAnsi="Cambria Math" w:cs="Times New Roman"/>
                <w:lang w:val="es-ES" w:eastAsia="es-ES"/>
              </w:rPr>
              <m:t>p</m:t>
            </m:r>
          </m:sub>
        </m:sSub>
        <m:d>
          <m:dPr>
            <m:ctrlPr>
              <w:rPr>
                <w:rFonts w:ascii="Cambria Math" w:eastAsia="Times New Roman" w:hAnsi="Cambria Math" w:cs="Times New Roman"/>
                <w:i/>
                <w:iCs/>
                <w:lang w:val="es-ES" w:eastAsia="es-ES"/>
              </w:rPr>
            </m:ctrlPr>
          </m:dPr>
          <m:e>
            <m:r>
              <w:rPr>
                <w:rFonts w:ascii="Cambria Math" w:eastAsia="Times New Roman" w:hAnsi="Cambria Math" w:cs="Times New Roman"/>
                <w:lang w:val="es-ES" w:eastAsia="es-ES"/>
              </w:rPr>
              <m:t>∆T</m:t>
            </m:r>
          </m:e>
        </m:d>
      </m:oMath>
      <w:r w:rsidRPr="003865C9">
        <w:rPr>
          <w:rFonts w:eastAsia="Times New Roman" w:cs="Times New Roman"/>
          <w:iCs/>
          <w:lang w:val="es-ES" w:eastAsia="es-ES"/>
        </w:rPr>
        <w:t xml:space="preserve"> </w:t>
      </w:r>
      <w:r w:rsidRPr="003865C9">
        <w:rPr>
          <w:rFonts w:eastAsia="Times New Roman" w:cs="Times New Roman"/>
          <w:iCs/>
          <w:lang w:val="es-ES" w:eastAsia="es-ES"/>
        </w:rPr>
        <w:tab/>
        <w:t xml:space="preserve">Ecuación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Ecuación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w:t>
      </w:r>
      <w:r w:rsidRPr="003865C9">
        <w:rPr>
          <w:rFonts w:eastAsia="Times New Roman" w:cs="Times New Roman"/>
          <w:lang w:val="es-ES" w:eastAsia="es-ES"/>
        </w:rPr>
        <w:fldChar w:fldCharType="end"/>
      </w:r>
      <w:r w:rsidRPr="003865C9">
        <w:rPr>
          <w:rFonts w:eastAsia="Times New Roman" w:cs="Times New Roman"/>
          <w:iCs/>
          <w:lang w:val="es-ES" w:eastAsia="es-ES"/>
        </w:rPr>
        <w:t>.</w:t>
      </w:r>
    </w:p>
    <w:p w14:paraId="05E23757" w14:textId="77777777" w:rsidR="0083589C" w:rsidRPr="003865C9" w:rsidRDefault="0083589C" w:rsidP="00CE34E8">
      <w:pPr>
        <w:rPr>
          <w:rFonts w:eastAsia="Times New Roman" w:cs="Times New Roman"/>
          <w:iCs/>
          <w:lang w:val="es-ES" w:eastAsia="es-ES"/>
        </w:rPr>
      </w:pPr>
    </w:p>
    <w:p w14:paraId="7607C713"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lastRenderedPageBreak/>
        <w:t xml:space="preserve">Dónde </w:t>
      </w:r>
      <m:oMath>
        <m:r>
          <w:rPr>
            <w:rFonts w:ascii="Cambria Math" w:eastAsia="Times New Roman" w:hAnsi="Cambria Math" w:cs="Times New Roman"/>
            <w:lang w:val="es-ES" w:eastAsia="es-ES"/>
          </w:rPr>
          <m:t>Q</m:t>
        </m:r>
      </m:oMath>
      <w:r w:rsidRPr="003865C9">
        <w:rPr>
          <w:rFonts w:eastAsia="Times New Roman" w:cs="Times New Roman"/>
          <w:lang w:val="es-ES" w:eastAsia="es-ES"/>
        </w:rPr>
        <w:t xml:space="preserve"> es el calor generado o absorbido, </w:t>
      </w:r>
      <m:oMath>
        <m:acc>
          <m:accPr>
            <m:chr m:val="̇"/>
            <m:ctrlPr>
              <w:rPr>
                <w:rFonts w:ascii="Cambria Math" w:eastAsia="Times New Roman" w:hAnsi="Cambria Math" w:cs="Times New Roman"/>
                <w:i/>
                <w:lang w:val="es-ES" w:eastAsia="es-ES"/>
              </w:rPr>
            </m:ctrlPr>
          </m:accPr>
          <m:e>
            <m:r>
              <w:rPr>
                <w:rFonts w:ascii="Cambria Math" w:eastAsia="Times New Roman" w:hAnsi="Cambria Math" w:cs="Times New Roman"/>
                <w:lang w:val="es-ES" w:eastAsia="es-ES"/>
              </w:rPr>
              <m:t>m</m:t>
            </m:r>
          </m:e>
        </m:acc>
      </m:oMath>
      <w:r w:rsidRPr="003865C9">
        <w:rPr>
          <w:rFonts w:eastAsia="Times New Roman" w:cs="Times New Roman"/>
          <w:lang w:val="es-ES" w:eastAsia="es-ES"/>
        </w:rPr>
        <w:t xml:space="preserve"> es el flujo másico del aire que se puede calcular con el producto entre la velocidad del aire y el área de entrada. </w:t>
      </w:r>
      <m:oMath>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C</m:t>
            </m:r>
          </m:e>
          <m:sub>
            <m:r>
              <w:rPr>
                <w:rFonts w:ascii="Cambria Math" w:eastAsia="Times New Roman" w:hAnsi="Cambria Math" w:cs="Times New Roman"/>
                <w:lang w:val="es-ES" w:eastAsia="es-ES"/>
              </w:rPr>
              <m:t>p</m:t>
            </m:r>
          </m:sub>
        </m:sSub>
      </m:oMath>
      <w:r w:rsidRPr="003865C9">
        <w:rPr>
          <w:rFonts w:eastAsia="Times New Roman" w:cs="Times New Roman"/>
          <w:lang w:val="es-ES" w:eastAsia="es-ES"/>
        </w:rPr>
        <w:t xml:space="preserve"> </w:t>
      </w:r>
      <w:proofErr w:type="gramStart"/>
      <w:r w:rsidRPr="003865C9">
        <w:rPr>
          <w:rFonts w:eastAsia="Times New Roman" w:cs="Times New Roman"/>
          <w:lang w:val="es-ES" w:eastAsia="es-ES"/>
        </w:rPr>
        <w:t>es</w:t>
      </w:r>
      <w:proofErr w:type="gramEnd"/>
      <w:r w:rsidRPr="003865C9">
        <w:rPr>
          <w:rFonts w:eastAsia="Times New Roman" w:cs="Times New Roman"/>
          <w:lang w:val="es-ES" w:eastAsia="es-ES"/>
        </w:rPr>
        <w:t xml:space="preserve"> el calor especifico a presión constante que se encuentra tabulado en la bibliografía y </w:t>
      </w:r>
      <m:oMath>
        <m:r>
          <w:rPr>
            <w:rFonts w:ascii="Cambria Math" w:eastAsia="Times New Roman" w:hAnsi="Cambria Math" w:cs="Times New Roman"/>
            <w:lang w:val="es-ES" w:eastAsia="es-ES"/>
          </w:rPr>
          <m:t>∆T</m:t>
        </m:r>
      </m:oMath>
      <w:r w:rsidRPr="003865C9">
        <w:rPr>
          <w:rFonts w:eastAsia="Times New Roman" w:cs="Times New Roman"/>
          <w:lang w:val="es-ES" w:eastAsia="es-ES"/>
        </w:rPr>
        <w:t xml:space="preserve"> es la diferencia entre la temperatura de salida y la de entrada. Una vez calculado el calor generado por el colector la eficiencia se halla usando la siguiente ecuación:</w:t>
      </w:r>
    </w:p>
    <w:p w14:paraId="5271A75F" w14:textId="77777777" w:rsidR="0083589C" w:rsidRPr="003865C9" w:rsidRDefault="0083589C" w:rsidP="00CE34E8">
      <w:pPr>
        <w:rPr>
          <w:rFonts w:eastAsia="Times New Roman" w:cs="Times New Roman"/>
          <w:lang w:val="es-ES" w:eastAsia="es-ES"/>
        </w:rPr>
      </w:pPr>
    </w:p>
    <w:p w14:paraId="236D10A0" w14:textId="77777777" w:rsidR="00CE34E8" w:rsidRPr="003865C9" w:rsidRDefault="00CE34E8" w:rsidP="00CE34E8">
      <w:pPr>
        <w:rPr>
          <w:rFonts w:eastAsia="Times New Roman" w:cs="Times New Roman"/>
          <w:iCs/>
          <w:lang w:val="es-ES" w:eastAsia="es-ES"/>
        </w:rPr>
      </w:pPr>
      <m:oMath>
        <m:r>
          <w:rPr>
            <w:rFonts w:ascii="Cambria Math" w:eastAsia="Times New Roman" w:hAnsi="Cambria Math" w:cs="Times New Roman"/>
            <w:lang w:val="es-ES" w:eastAsia="es-ES"/>
          </w:rPr>
          <m:t>η=</m:t>
        </m:r>
        <m:f>
          <m:fPr>
            <m:type m:val="skw"/>
            <m:ctrlPr>
              <w:rPr>
                <w:rFonts w:ascii="Cambria Math" w:eastAsia="Times New Roman" w:hAnsi="Cambria Math" w:cs="Times New Roman"/>
                <w:i/>
                <w:iCs/>
                <w:lang w:val="es-ES" w:eastAsia="es-ES"/>
              </w:rPr>
            </m:ctrlPr>
          </m:fPr>
          <m:num>
            <m:sSub>
              <m:sSubPr>
                <m:ctrlPr>
                  <w:rPr>
                    <w:rFonts w:ascii="Cambria Math" w:eastAsia="Times New Roman" w:hAnsi="Cambria Math" w:cs="Times New Roman"/>
                    <w:i/>
                    <w:iCs/>
                    <w:lang w:val="es-ES" w:eastAsia="es-ES"/>
                  </w:rPr>
                </m:ctrlPr>
              </m:sSubPr>
              <m:e>
                <m:r>
                  <w:rPr>
                    <w:rFonts w:ascii="Cambria Math" w:eastAsia="Times New Roman" w:hAnsi="Cambria Math" w:cs="Times New Roman"/>
                    <w:lang w:val="es-ES" w:eastAsia="es-ES"/>
                  </w:rPr>
                  <m:t>Q</m:t>
                </m:r>
              </m:e>
              <m:sub>
                <m:r>
                  <w:rPr>
                    <w:rFonts w:ascii="Cambria Math" w:eastAsia="Times New Roman" w:hAnsi="Cambria Math" w:cs="Times New Roman"/>
                    <w:lang w:val="es-ES" w:eastAsia="es-ES"/>
                  </w:rPr>
                  <m:t>a</m:t>
                </m:r>
              </m:sub>
            </m:sSub>
          </m:num>
          <m:den>
            <m:sSub>
              <m:sSubPr>
                <m:ctrlPr>
                  <w:rPr>
                    <w:rFonts w:ascii="Cambria Math" w:eastAsia="Times New Roman" w:hAnsi="Cambria Math" w:cs="Times New Roman"/>
                    <w:i/>
                    <w:iCs/>
                    <w:lang w:val="es-ES" w:eastAsia="es-ES"/>
                  </w:rPr>
                </m:ctrlPr>
              </m:sSubPr>
              <m:e>
                <m:r>
                  <w:rPr>
                    <w:rFonts w:ascii="Cambria Math" w:eastAsia="Times New Roman" w:hAnsi="Cambria Math" w:cs="Times New Roman"/>
                    <w:lang w:val="es-ES" w:eastAsia="es-ES"/>
                  </w:rPr>
                  <m:t>Q</m:t>
                </m:r>
              </m:e>
              <m:sub>
                <m:r>
                  <w:rPr>
                    <w:rFonts w:ascii="Cambria Math" w:eastAsia="Times New Roman" w:hAnsi="Cambria Math" w:cs="Times New Roman"/>
                    <w:lang w:val="es-ES" w:eastAsia="es-ES"/>
                  </w:rPr>
                  <m:t>T</m:t>
                </m:r>
              </m:sub>
            </m:sSub>
          </m:den>
        </m:f>
      </m:oMath>
      <w:r w:rsidRPr="003865C9">
        <w:rPr>
          <w:rFonts w:eastAsia="Times New Roman" w:cs="Times New Roman"/>
          <w:iCs/>
          <w:lang w:val="es-ES" w:eastAsia="es-ES"/>
        </w:rPr>
        <w:tab/>
        <w:t xml:space="preserve">Ecuación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Ecuación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2</w:t>
      </w:r>
      <w:r w:rsidRPr="003865C9">
        <w:rPr>
          <w:rFonts w:eastAsia="Times New Roman" w:cs="Times New Roman"/>
          <w:lang w:val="es-ES" w:eastAsia="es-ES"/>
        </w:rPr>
        <w:fldChar w:fldCharType="end"/>
      </w:r>
      <w:r w:rsidRPr="003865C9">
        <w:rPr>
          <w:rFonts w:eastAsia="Times New Roman" w:cs="Times New Roman"/>
          <w:iCs/>
          <w:lang w:val="es-ES" w:eastAsia="es-ES"/>
        </w:rPr>
        <w:t>.</w:t>
      </w:r>
    </w:p>
    <w:p w14:paraId="6D2ECC23" w14:textId="77777777" w:rsidR="0083589C" w:rsidRPr="003865C9" w:rsidRDefault="0083589C" w:rsidP="00CE34E8">
      <w:pPr>
        <w:rPr>
          <w:rFonts w:eastAsia="Times New Roman" w:cs="Times New Roman"/>
          <w:iCs/>
          <w:lang w:val="es-ES" w:eastAsia="es-ES"/>
        </w:rPr>
      </w:pPr>
    </w:p>
    <w:p w14:paraId="2A23932F"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t xml:space="preserve">Donde </w:t>
      </w:r>
      <m:oMath>
        <m:r>
          <w:rPr>
            <w:rFonts w:ascii="Cambria Math" w:eastAsia="Times New Roman" w:hAnsi="Cambria Math" w:cs="Times New Roman"/>
            <w:lang w:val="es-ES" w:eastAsia="es-ES"/>
          </w:rPr>
          <m:t>η</m:t>
        </m:r>
      </m:oMath>
      <w:r w:rsidRPr="003865C9">
        <w:rPr>
          <w:rFonts w:eastAsia="Times New Roman" w:cs="Times New Roman"/>
          <w:lang w:val="es-ES" w:eastAsia="es-ES"/>
        </w:rPr>
        <w:t xml:space="preserve"> es la eficiencia, </w:t>
      </w:r>
      <m:oMath>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Q</m:t>
            </m:r>
          </m:e>
          <m:sub>
            <m:r>
              <w:rPr>
                <w:rFonts w:ascii="Cambria Math" w:eastAsia="Times New Roman" w:hAnsi="Cambria Math" w:cs="Times New Roman"/>
                <w:lang w:val="es-ES" w:eastAsia="es-ES"/>
              </w:rPr>
              <m:t>a</m:t>
            </m:r>
          </m:sub>
        </m:sSub>
      </m:oMath>
      <w:r w:rsidRPr="003865C9">
        <w:rPr>
          <w:rFonts w:eastAsia="Times New Roman" w:cs="Times New Roman"/>
          <w:lang w:val="es-ES" w:eastAsia="es-ES"/>
        </w:rPr>
        <w:t xml:space="preserve"> es el calor absorbido por el aire y  </w:t>
      </w:r>
      <m:oMath>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Q</m:t>
            </m:r>
          </m:e>
          <m:sub>
            <m:r>
              <w:rPr>
                <w:rFonts w:ascii="Cambria Math" w:eastAsia="Times New Roman" w:hAnsi="Cambria Math" w:cs="Times New Roman"/>
                <w:lang w:val="es-ES" w:eastAsia="es-ES"/>
              </w:rPr>
              <m:t>T</m:t>
            </m:r>
          </m:sub>
        </m:sSub>
      </m:oMath>
      <w:r w:rsidRPr="003865C9">
        <w:rPr>
          <w:rFonts w:eastAsia="Times New Roman" w:cs="Times New Roman"/>
          <w:lang w:val="es-ES" w:eastAsia="es-ES"/>
        </w:rPr>
        <w:t xml:space="preserve"> es la potencia solar sobre el colector que se obtiene de multiplicar el área total por la irradiación, despreciado las </w:t>
      </w:r>
      <w:proofErr w:type="gramStart"/>
      <w:r w:rsidRPr="003865C9">
        <w:rPr>
          <w:rFonts w:eastAsia="Times New Roman" w:cs="Times New Roman"/>
          <w:lang w:val="es-ES" w:eastAsia="es-ES"/>
        </w:rPr>
        <w:t>perdidas</w:t>
      </w:r>
      <w:proofErr w:type="gramEnd"/>
      <w:r w:rsidRPr="003865C9">
        <w:rPr>
          <w:rFonts w:eastAsia="Times New Roman" w:cs="Times New Roman"/>
          <w:lang w:val="es-ES" w:eastAsia="es-ES"/>
        </w:rPr>
        <w:t xml:space="preserve"> por reflexión y </w:t>
      </w:r>
      <w:proofErr w:type="spellStart"/>
      <w:r w:rsidRPr="003865C9">
        <w:rPr>
          <w:rFonts w:eastAsia="Times New Roman" w:cs="Times New Roman"/>
          <w:lang w:val="es-ES" w:eastAsia="es-ES"/>
        </w:rPr>
        <w:t>transmitancia</w:t>
      </w:r>
      <w:proofErr w:type="spellEnd"/>
      <w:r w:rsidRPr="003865C9">
        <w:rPr>
          <w:rFonts w:eastAsia="Times New Roman" w:cs="Times New Roman"/>
          <w:lang w:val="es-ES" w:eastAsia="es-ES"/>
        </w:rPr>
        <w:t>.</w:t>
      </w:r>
    </w:p>
    <w:p w14:paraId="1FFCE658" w14:textId="77777777" w:rsidR="006173B6" w:rsidRPr="003865C9" w:rsidRDefault="006173B6" w:rsidP="00CE34E8">
      <w:pPr>
        <w:rPr>
          <w:rFonts w:eastAsia="Times New Roman" w:cs="Times New Roman"/>
          <w:lang w:val="es-ES" w:eastAsia="es-ES"/>
        </w:rPr>
      </w:pPr>
    </w:p>
    <w:p w14:paraId="31D2295F"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En el caso del aire de la combustión el calor absorbido al salir del sistema es de 91 W y el aire para el proceso productivo alcanza una potencia cercana a los 900 W aproximadamente. En términos generales la eficiencia del sistema es de combustión para el calentamiento del aire es del 25 % basados en la simulación.</w:t>
      </w:r>
    </w:p>
    <w:p w14:paraId="6689FD4C" w14:textId="77777777" w:rsidR="00CE34E8" w:rsidRPr="003865C9" w:rsidRDefault="00CE34E8" w:rsidP="00CE34E8">
      <w:pPr>
        <w:rPr>
          <w:rFonts w:eastAsia="Times New Roman" w:cs="Times New Roman"/>
          <w:lang w:val="es-ES" w:eastAsia="es-ES"/>
        </w:rPr>
      </w:pPr>
    </w:p>
    <w:p w14:paraId="56C73A01" w14:textId="54DAF15A" w:rsidR="00CE34E8" w:rsidRPr="003865C9" w:rsidRDefault="00CE34E8" w:rsidP="00CE34E8">
      <w:pPr>
        <w:pStyle w:val="Ttulo2"/>
      </w:pPr>
      <w:bookmarkStart w:id="17" w:name="_Toc101276625"/>
      <w:r w:rsidRPr="003865C9">
        <w:t>Construcción del sistema</w:t>
      </w:r>
      <w:bookmarkEnd w:id="17"/>
    </w:p>
    <w:p w14:paraId="340919B2" w14:textId="77777777" w:rsidR="00CE34E8" w:rsidRPr="003865C9" w:rsidRDefault="00CE34E8" w:rsidP="00CE34E8">
      <w:pPr>
        <w:rPr>
          <w:rFonts w:eastAsia="Times New Roman" w:cs="Times New Roman"/>
          <w:b/>
          <w:lang w:eastAsia="es-ES"/>
        </w:rPr>
      </w:pPr>
    </w:p>
    <w:p w14:paraId="5C2B99A1"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Al llevar el concepto a temas reales de construcción, se implementan diferentes mecanismos y se adicionan elementos funcionales para ubicar los equipos que generan el caudal del aire y el movimiento del tornillo sin fin para el paso de los pellets.</w:t>
      </w:r>
    </w:p>
    <w:p w14:paraId="375A58BF" w14:textId="77777777" w:rsidR="0083589C" w:rsidRPr="003865C9" w:rsidRDefault="0083589C" w:rsidP="00CE34E8">
      <w:pPr>
        <w:rPr>
          <w:rFonts w:eastAsia="Times New Roman" w:cs="Times New Roman"/>
          <w:lang w:eastAsia="es-ES"/>
        </w:rPr>
      </w:pPr>
    </w:p>
    <w:p w14:paraId="0FB198C6" w14:textId="77777777" w:rsidR="00CE34E8" w:rsidRPr="003865C9" w:rsidRDefault="00CE34E8" w:rsidP="00CE34E8">
      <w:pPr>
        <w:jc w:val="center"/>
        <w:rPr>
          <w:rFonts w:eastAsia="Times New Roman" w:cs="Times New Roman"/>
          <w:iCs/>
          <w:lang w:val="es-ES" w:eastAsia="es-ES"/>
        </w:rPr>
      </w:pPr>
      <w:bookmarkStart w:id="18" w:name="_Toc101276589"/>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10</w:t>
      </w:r>
      <w:r w:rsidRPr="003865C9">
        <w:rPr>
          <w:rFonts w:eastAsia="Times New Roman" w:cs="Times New Roman"/>
          <w:lang w:val="es-ES" w:eastAsia="es-ES"/>
        </w:rPr>
        <w:fldChar w:fldCharType="end"/>
      </w:r>
      <w:r w:rsidRPr="003865C9">
        <w:rPr>
          <w:rFonts w:eastAsia="Times New Roman" w:cs="Times New Roman"/>
          <w:iCs/>
          <w:lang w:val="es-ES" w:eastAsia="es-ES"/>
        </w:rPr>
        <w:t>. Sistema de combustión con pellets</w:t>
      </w:r>
      <w:bookmarkEnd w:id="18"/>
    </w:p>
    <w:p w14:paraId="0E6A21CB"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6C4C50ED" wp14:editId="56B41AFF">
            <wp:extent cx="1715103" cy="21229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0146" b="20370"/>
                    <a:stretch/>
                  </pic:blipFill>
                  <pic:spPr bwMode="auto">
                    <a:xfrm>
                      <a:off x="0" y="0"/>
                      <a:ext cx="1724617" cy="2134775"/>
                    </a:xfrm>
                    <a:prstGeom prst="rect">
                      <a:avLst/>
                    </a:prstGeom>
                    <a:noFill/>
                    <a:ln>
                      <a:noFill/>
                    </a:ln>
                    <a:extLst>
                      <a:ext uri="{53640926-AAD7-44D8-BBD7-CCE9431645EC}">
                        <a14:shadowObscured xmlns:a14="http://schemas.microsoft.com/office/drawing/2010/main"/>
                      </a:ext>
                    </a:extLst>
                  </pic:spPr>
                </pic:pic>
              </a:graphicData>
            </a:graphic>
          </wp:inline>
        </w:drawing>
      </w:r>
    </w:p>
    <w:p w14:paraId="441D714B"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200B5ECC" w14:textId="77777777" w:rsidR="0083589C" w:rsidRPr="003865C9" w:rsidRDefault="0083589C" w:rsidP="00CE34E8">
      <w:pPr>
        <w:jc w:val="center"/>
        <w:rPr>
          <w:rFonts w:eastAsia="Times New Roman" w:cs="Times New Roman"/>
          <w:i/>
          <w:iCs/>
          <w:lang w:eastAsia="es-ES"/>
        </w:rPr>
      </w:pPr>
    </w:p>
    <w:p w14:paraId="2B6C43FC"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En la ilustración 10 se observa el conjunto de elementos ensamblados para el proceso de combustión. Las adiciones más notables que no se encontraron en la simulación se encuentran: la puerta que se asegura con 4 tornillos roscados y la bandeja inferior que igualmente se ajusta mediante el mismo mecanismo que la puerta.</w:t>
      </w:r>
    </w:p>
    <w:p w14:paraId="7378DAE8" w14:textId="77777777" w:rsidR="00CE34E8" w:rsidRPr="003865C9" w:rsidRDefault="00CE34E8" w:rsidP="00CE34E8">
      <w:pPr>
        <w:jc w:val="center"/>
        <w:rPr>
          <w:rFonts w:eastAsia="Times New Roman" w:cs="Times New Roman"/>
          <w:iCs/>
          <w:lang w:val="es-ES" w:eastAsia="es-ES"/>
        </w:rPr>
      </w:pPr>
      <w:bookmarkStart w:id="19" w:name="_Toc101276590"/>
      <w:r w:rsidRPr="003865C9">
        <w:rPr>
          <w:rFonts w:eastAsia="Times New Roman" w:cs="Times New Roman"/>
          <w:iCs/>
          <w:lang w:val="es-ES" w:eastAsia="es-ES"/>
        </w:rPr>
        <w:lastRenderedPageBreak/>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11</w:t>
      </w:r>
      <w:r w:rsidRPr="003865C9">
        <w:rPr>
          <w:rFonts w:eastAsia="Times New Roman" w:cs="Times New Roman"/>
          <w:lang w:val="es-ES" w:eastAsia="es-ES"/>
        </w:rPr>
        <w:fldChar w:fldCharType="end"/>
      </w:r>
      <w:r w:rsidRPr="003865C9">
        <w:rPr>
          <w:rFonts w:eastAsia="Times New Roman" w:cs="Times New Roman"/>
          <w:iCs/>
          <w:lang w:val="es-ES" w:eastAsia="es-ES"/>
        </w:rPr>
        <w:t>. Bandeja recolectora de cenizas</w:t>
      </w:r>
      <w:bookmarkEnd w:id="19"/>
    </w:p>
    <w:p w14:paraId="7E72F79B"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396B97D9" wp14:editId="6FAD31A7">
            <wp:extent cx="1536303" cy="2212621"/>
            <wp:effectExtent l="0" t="0" r="6985" b="0"/>
            <wp:docPr id="15" name="Imagen 15" descr="Imagen que contiene verde, interior, cocin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verde, interior, cocina, tabla&#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988"/>
                    <a:stretch/>
                  </pic:blipFill>
                  <pic:spPr bwMode="auto">
                    <a:xfrm>
                      <a:off x="0" y="0"/>
                      <a:ext cx="1548156" cy="2229692"/>
                    </a:xfrm>
                    <a:prstGeom prst="rect">
                      <a:avLst/>
                    </a:prstGeom>
                    <a:noFill/>
                    <a:ln>
                      <a:noFill/>
                    </a:ln>
                    <a:extLst>
                      <a:ext uri="{53640926-AAD7-44D8-BBD7-CCE9431645EC}">
                        <a14:shadowObscured xmlns:a14="http://schemas.microsoft.com/office/drawing/2010/main"/>
                      </a:ext>
                    </a:extLst>
                  </pic:spPr>
                </pic:pic>
              </a:graphicData>
            </a:graphic>
          </wp:inline>
        </w:drawing>
      </w:r>
    </w:p>
    <w:p w14:paraId="238E2A63"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16048450" w14:textId="77777777" w:rsidR="0083589C" w:rsidRPr="003865C9" w:rsidRDefault="0083589C" w:rsidP="00CE34E8">
      <w:pPr>
        <w:jc w:val="center"/>
        <w:rPr>
          <w:rFonts w:eastAsia="Times New Roman" w:cs="Times New Roman"/>
          <w:i/>
          <w:iCs/>
          <w:lang w:eastAsia="es-ES"/>
        </w:rPr>
      </w:pPr>
    </w:p>
    <w:p w14:paraId="46B5D4AB"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Las partículas sólidas residuales de la combustión caen por gravedad a la bandeja recolectara y cada cierto tiempo se extrae la bandeja para retirar el material particulado. Por otro lado, como mecanismos para el ingreso del caudal del aire de la combustión, se instalan unos ventiladores de 12 voltios DC, uno a cada lado de la cámara.</w:t>
      </w:r>
    </w:p>
    <w:p w14:paraId="48AC7EEF" w14:textId="77777777" w:rsidR="00CE34E8" w:rsidRPr="003865C9" w:rsidRDefault="00CE34E8" w:rsidP="00CE34E8">
      <w:pPr>
        <w:rPr>
          <w:rFonts w:eastAsia="Times New Roman" w:cs="Times New Roman"/>
          <w:lang w:eastAsia="es-ES"/>
        </w:rPr>
      </w:pPr>
    </w:p>
    <w:p w14:paraId="7BC00E54" w14:textId="77777777" w:rsidR="00CE34E8" w:rsidRPr="003865C9" w:rsidRDefault="00CE34E8" w:rsidP="00CE34E8">
      <w:pPr>
        <w:rPr>
          <w:rFonts w:eastAsia="Times New Roman" w:cs="Times New Roman"/>
          <w:iCs/>
          <w:lang w:val="es-ES" w:eastAsia="es-ES"/>
        </w:rPr>
      </w:pPr>
      <w:bookmarkStart w:id="20" w:name="_Toc101276591"/>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12</w:t>
      </w:r>
      <w:r w:rsidRPr="003865C9">
        <w:rPr>
          <w:rFonts w:eastAsia="Times New Roman" w:cs="Times New Roman"/>
          <w:lang w:val="es-ES" w:eastAsia="es-ES"/>
        </w:rPr>
        <w:fldChar w:fldCharType="end"/>
      </w:r>
      <w:r w:rsidRPr="003865C9">
        <w:rPr>
          <w:rFonts w:eastAsia="Times New Roman" w:cs="Times New Roman"/>
          <w:iCs/>
          <w:lang w:val="es-ES" w:eastAsia="es-ES"/>
        </w:rPr>
        <w:t>. Ventiladores para el aire de la combustión</w:t>
      </w:r>
      <w:bookmarkEnd w:id="20"/>
    </w:p>
    <w:p w14:paraId="7A887E9A" w14:textId="77777777" w:rsidR="0083589C" w:rsidRPr="003865C9" w:rsidRDefault="0083589C" w:rsidP="00CE34E8">
      <w:pPr>
        <w:rPr>
          <w:rFonts w:eastAsia="Times New Roman" w:cs="Times New Roman"/>
          <w:iCs/>
          <w:lang w:val="es-ES" w:eastAsia="es-ES"/>
        </w:rPr>
      </w:pPr>
    </w:p>
    <w:p w14:paraId="11F29F89"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6256BAFE" wp14:editId="34508EB2">
            <wp:extent cx="1626851" cy="1643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448" b="15741"/>
                    <a:stretch/>
                  </pic:blipFill>
                  <pic:spPr bwMode="auto">
                    <a:xfrm>
                      <a:off x="0" y="0"/>
                      <a:ext cx="1634846" cy="1651150"/>
                    </a:xfrm>
                    <a:prstGeom prst="rect">
                      <a:avLst/>
                    </a:prstGeom>
                    <a:noFill/>
                    <a:ln>
                      <a:noFill/>
                    </a:ln>
                    <a:extLst>
                      <a:ext uri="{53640926-AAD7-44D8-BBD7-CCE9431645EC}">
                        <a14:shadowObscured xmlns:a14="http://schemas.microsoft.com/office/drawing/2010/main"/>
                      </a:ext>
                    </a:extLst>
                  </pic:spPr>
                </pic:pic>
              </a:graphicData>
            </a:graphic>
          </wp:inline>
        </w:drawing>
      </w:r>
    </w:p>
    <w:p w14:paraId="38903458"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616DE11D" w14:textId="77777777" w:rsidR="0083589C" w:rsidRPr="003865C9" w:rsidRDefault="0083589C" w:rsidP="00CE34E8">
      <w:pPr>
        <w:jc w:val="center"/>
        <w:rPr>
          <w:rFonts w:eastAsia="Times New Roman" w:cs="Times New Roman"/>
          <w:i/>
          <w:iCs/>
          <w:lang w:eastAsia="es-ES"/>
        </w:rPr>
      </w:pPr>
    </w:p>
    <w:p w14:paraId="3BC41475"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Adicionalmente se puede evidenciar el sistema mecánico para la inserción de los pellets, el cual cuenta con un motor DC, el tornillo sin fin y los elementos de soporte como la tolva y la tubería.</w:t>
      </w:r>
    </w:p>
    <w:p w14:paraId="4F620973" w14:textId="77777777" w:rsidR="0083589C" w:rsidRPr="003865C9" w:rsidRDefault="0083589C" w:rsidP="00CE34E8">
      <w:pPr>
        <w:rPr>
          <w:rFonts w:eastAsia="Times New Roman" w:cs="Times New Roman"/>
          <w:lang w:eastAsia="es-ES"/>
        </w:rPr>
      </w:pPr>
    </w:p>
    <w:p w14:paraId="6C51A165" w14:textId="77777777" w:rsidR="00CE34E8" w:rsidRPr="003865C9" w:rsidRDefault="00CE34E8" w:rsidP="00CE34E8">
      <w:pPr>
        <w:jc w:val="center"/>
        <w:rPr>
          <w:rFonts w:eastAsia="Times New Roman" w:cs="Times New Roman"/>
          <w:iCs/>
          <w:lang w:val="es-ES" w:eastAsia="es-ES"/>
        </w:rPr>
      </w:pPr>
      <w:bookmarkStart w:id="21" w:name="_Toc101276592"/>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13</w:t>
      </w:r>
      <w:r w:rsidRPr="003865C9">
        <w:rPr>
          <w:rFonts w:eastAsia="Times New Roman" w:cs="Times New Roman"/>
          <w:lang w:val="es-ES" w:eastAsia="es-ES"/>
        </w:rPr>
        <w:fldChar w:fldCharType="end"/>
      </w:r>
      <w:r w:rsidRPr="003865C9">
        <w:rPr>
          <w:rFonts w:eastAsia="Times New Roman" w:cs="Times New Roman"/>
          <w:iCs/>
          <w:lang w:val="es-ES" w:eastAsia="es-ES"/>
        </w:rPr>
        <w:t>. Tornillo sin fin y tolva</w:t>
      </w:r>
      <w:bookmarkEnd w:id="21"/>
    </w:p>
    <w:p w14:paraId="12A9982E"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117F1623" wp14:editId="7D89ABB6">
            <wp:extent cx="1749287" cy="1413344"/>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0380"/>
                    <a:stretch/>
                  </pic:blipFill>
                  <pic:spPr bwMode="auto">
                    <a:xfrm>
                      <a:off x="0" y="0"/>
                      <a:ext cx="1757586" cy="1420050"/>
                    </a:xfrm>
                    <a:prstGeom prst="rect">
                      <a:avLst/>
                    </a:prstGeom>
                    <a:noFill/>
                    <a:ln>
                      <a:noFill/>
                    </a:ln>
                    <a:extLst>
                      <a:ext uri="{53640926-AAD7-44D8-BBD7-CCE9431645EC}">
                        <a14:shadowObscured xmlns:a14="http://schemas.microsoft.com/office/drawing/2010/main"/>
                      </a:ext>
                    </a:extLst>
                  </pic:spPr>
                </pic:pic>
              </a:graphicData>
            </a:graphic>
          </wp:inline>
        </w:drawing>
      </w:r>
    </w:p>
    <w:p w14:paraId="0F3FD330" w14:textId="77777777" w:rsidR="00CE34E8" w:rsidRPr="003865C9" w:rsidRDefault="00CE34E8" w:rsidP="00CE34E8">
      <w:pPr>
        <w:jc w:val="center"/>
        <w:rPr>
          <w:rFonts w:eastAsia="Times New Roman" w:cs="Times New Roman"/>
          <w:i/>
          <w:iCs/>
          <w:lang w:eastAsia="es-ES"/>
        </w:rPr>
      </w:pPr>
      <w:r w:rsidRPr="003865C9">
        <w:rPr>
          <w:rFonts w:eastAsia="Times New Roman" w:cs="Times New Roman"/>
          <w:i/>
          <w:iCs/>
          <w:lang w:eastAsia="es-ES"/>
        </w:rPr>
        <w:t>Fuente: autores</w:t>
      </w:r>
    </w:p>
    <w:p w14:paraId="1E958DF0"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lastRenderedPageBreak/>
        <w:t>En el interior de la cámara de combustión se puede apreciar la canasta, la tubería por dónde ingresa el aire, la entrada de los pellets o final del tornillo sinfín y la parte inferior del tanque de almacenamiento dónde se encuentra el serpentín y el aceite usado para el amortiguamiento de la energía.</w:t>
      </w:r>
    </w:p>
    <w:p w14:paraId="57CB5133" w14:textId="77777777" w:rsidR="0083589C" w:rsidRPr="003865C9" w:rsidRDefault="0083589C" w:rsidP="00CE34E8">
      <w:pPr>
        <w:rPr>
          <w:rFonts w:eastAsia="Times New Roman" w:cs="Times New Roman"/>
          <w:lang w:eastAsia="es-ES"/>
        </w:rPr>
      </w:pPr>
    </w:p>
    <w:p w14:paraId="6A72FE30" w14:textId="77777777" w:rsidR="00CE34E8" w:rsidRPr="003865C9" w:rsidRDefault="00CE34E8" w:rsidP="00CE34E8">
      <w:pPr>
        <w:jc w:val="center"/>
        <w:rPr>
          <w:rFonts w:eastAsia="Times New Roman" w:cs="Times New Roman"/>
          <w:iCs/>
          <w:lang w:val="es-ES" w:eastAsia="es-ES"/>
        </w:rPr>
      </w:pPr>
      <w:bookmarkStart w:id="22" w:name="_Toc101276593"/>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14</w:t>
      </w:r>
      <w:r w:rsidRPr="003865C9">
        <w:rPr>
          <w:rFonts w:eastAsia="Times New Roman" w:cs="Times New Roman"/>
          <w:lang w:val="es-ES" w:eastAsia="es-ES"/>
        </w:rPr>
        <w:fldChar w:fldCharType="end"/>
      </w:r>
      <w:r w:rsidRPr="003865C9">
        <w:rPr>
          <w:rFonts w:eastAsia="Times New Roman" w:cs="Times New Roman"/>
          <w:iCs/>
          <w:lang w:val="es-ES" w:eastAsia="es-ES"/>
        </w:rPr>
        <w:t>. Interior de la cámara de combustión</w:t>
      </w:r>
      <w:bookmarkEnd w:id="22"/>
    </w:p>
    <w:p w14:paraId="588E54A6"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168B0275" wp14:editId="3EAE2C5A">
            <wp:extent cx="1710417" cy="962108"/>
            <wp:effectExtent l="0" t="0" r="4445" b="0"/>
            <wp:docPr id="18" name="Imagen 18" descr="Imagen que contiene interior, verde, pequeñ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interior, verde, pequeño, cocin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581" cy="971763"/>
                    </a:xfrm>
                    <a:prstGeom prst="rect">
                      <a:avLst/>
                    </a:prstGeom>
                    <a:noFill/>
                  </pic:spPr>
                </pic:pic>
              </a:graphicData>
            </a:graphic>
          </wp:inline>
        </w:drawing>
      </w:r>
    </w:p>
    <w:p w14:paraId="72B0E855" w14:textId="77777777" w:rsidR="0083589C" w:rsidRPr="003865C9" w:rsidRDefault="0083589C" w:rsidP="00CE34E8">
      <w:pPr>
        <w:jc w:val="center"/>
        <w:rPr>
          <w:rFonts w:eastAsia="Times New Roman" w:cs="Times New Roman"/>
          <w:lang w:eastAsia="es-ES"/>
        </w:rPr>
      </w:pPr>
    </w:p>
    <w:p w14:paraId="67523CA5" w14:textId="77777777" w:rsidR="00CE34E8" w:rsidRPr="003865C9" w:rsidRDefault="00CE34E8" w:rsidP="00CE34E8">
      <w:pPr>
        <w:jc w:val="center"/>
        <w:rPr>
          <w:rFonts w:eastAsia="Times New Roman" w:cs="Times New Roman"/>
          <w:lang w:eastAsia="es-ES"/>
        </w:rPr>
      </w:pPr>
      <w:r w:rsidRPr="003865C9">
        <w:rPr>
          <w:rFonts w:eastAsia="Times New Roman" w:cs="Times New Roman"/>
          <w:noProof/>
          <w:lang w:eastAsia="es-CO"/>
        </w:rPr>
        <w:drawing>
          <wp:inline distT="0" distB="0" distL="0" distR="0" wp14:anchorId="42CAF8A6" wp14:editId="2D7BD1BA">
            <wp:extent cx="1789044" cy="1246449"/>
            <wp:effectExtent l="0" t="0" r="1905" b="0"/>
            <wp:docPr id="19" name="Imagen 19" descr="Imagen que contiene interior, tabla, espej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interior, tabla, espejo, verde&#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86" t="4974" r="19494"/>
                    <a:stretch/>
                  </pic:blipFill>
                  <pic:spPr bwMode="auto">
                    <a:xfrm>
                      <a:off x="0" y="0"/>
                      <a:ext cx="1804284" cy="1257067"/>
                    </a:xfrm>
                    <a:prstGeom prst="rect">
                      <a:avLst/>
                    </a:prstGeom>
                    <a:noFill/>
                    <a:ln>
                      <a:noFill/>
                    </a:ln>
                    <a:extLst>
                      <a:ext uri="{53640926-AAD7-44D8-BBD7-CCE9431645EC}">
                        <a14:shadowObscured xmlns:a14="http://schemas.microsoft.com/office/drawing/2010/main"/>
                      </a:ext>
                    </a:extLst>
                  </pic:spPr>
                </pic:pic>
              </a:graphicData>
            </a:graphic>
          </wp:inline>
        </w:drawing>
      </w:r>
    </w:p>
    <w:p w14:paraId="0F34F59B"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7DBEE26B" w14:textId="77777777" w:rsidR="006173B6" w:rsidRDefault="006173B6" w:rsidP="00CE34E8">
      <w:pPr>
        <w:rPr>
          <w:rFonts w:eastAsia="Times New Roman" w:cs="Times New Roman"/>
          <w:lang w:eastAsia="es-ES"/>
        </w:rPr>
      </w:pPr>
    </w:p>
    <w:p w14:paraId="2663631D" w14:textId="77777777" w:rsidR="00CE34E8" w:rsidRPr="003865C9" w:rsidRDefault="00CE34E8" w:rsidP="00CE34E8">
      <w:pPr>
        <w:rPr>
          <w:rFonts w:eastAsia="Times New Roman" w:cs="Times New Roman"/>
          <w:lang w:eastAsia="es-ES"/>
        </w:rPr>
      </w:pPr>
      <w:r w:rsidRPr="003865C9">
        <w:rPr>
          <w:rFonts w:eastAsia="Times New Roman" w:cs="Times New Roman"/>
          <w:lang w:eastAsia="es-ES"/>
        </w:rPr>
        <w:t>Los preparativos generales del sistema consisten en verificar el funcionamiento de los componentes eléctricos y hacer seguimiento a posibles fugas de los gases de combustión. Al finalizar estos procesos de alistamiento se procede a las pruebas de funcionalidad.</w:t>
      </w:r>
    </w:p>
    <w:p w14:paraId="4DDE1644" w14:textId="77777777" w:rsidR="00CE34E8" w:rsidRPr="003865C9" w:rsidRDefault="00CE34E8" w:rsidP="00CE34E8">
      <w:pPr>
        <w:autoSpaceDE w:val="0"/>
        <w:autoSpaceDN w:val="0"/>
        <w:adjustRightInd w:val="0"/>
        <w:rPr>
          <w:rFonts w:eastAsia="Times New Roman" w:cs="Times New Roman"/>
          <w:lang w:eastAsia="es-ES"/>
        </w:rPr>
      </w:pPr>
    </w:p>
    <w:p w14:paraId="644B6F21" w14:textId="7026051B" w:rsidR="00CE34E8" w:rsidRPr="003865C9" w:rsidRDefault="00CE34E8" w:rsidP="00CE34E8">
      <w:pPr>
        <w:pStyle w:val="Ttulo1"/>
      </w:pPr>
      <w:bookmarkStart w:id="23" w:name="_Toc367827940"/>
      <w:bookmarkStart w:id="24" w:name="_Toc424313557"/>
      <w:bookmarkStart w:id="25" w:name="_Toc424638006"/>
      <w:bookmarkStart w:id="26" w:name="_Toc464655578"/>
      <w:r w:rsidRPr="003865C9">
        <w:t>Resultados</w:t>
      </w:r>
      <w:bookmarkEnd w:id="23"/>
      <w:bookmarkEnd w:id="24"/>
      <w:bookmarkEnd w:id="25"/>
      <w:bookmarkEnd w:id="26"/>
    </w:p>
    <w:p w14:paraId="3CF326C5" w14:textId="77777777" w:rsidR="00CE34E8" w:rsidRPr="003865C9" w:rsidRDefault="00CE34E8" w:rsidP="00CE34E8">
      <w:pPr>
        <w:autoSpaceDE w:val="0"/>
        <w:autoSpaceDN w:val="0"/>
        <w:adjustRightInd w:val="0"/>
        <w:rPr>
          <w:rFonts w:eastAsia="Times New Roman" w:cs="Times New Roman"/>
          <w:lang w:val="es-ES" w:eastAsia="es-ES"/>
        </w:rPr>
      </w:pPr>
    </w:p>
    <w:p w14:paraId="57232EFA"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t xml:space="preserve">Las pruebas realizadas se realizan con base en los criterios de simulación los cuales contemplan un flujo </w:t>
      </w:r>
      <w:proofErr w:type="spellStart"/>
      <w:r w:rsidRPr="003865C9">
        <w:rPr>
          <w:rFonts w:eastAsia="Times New Roman" w:cs="Times New Roman"/>
          <w:lang w:val="es-ES" w:eastAsia="es-ES"/>
        </w:rPr>
        <w:t>masico</w:t>
      </w:r>
      <w:proofErr w:type="spellEnd"/>
      <w:r w:rsidRPr="003865C9">
        <w:rPr>
          <w:rFonts w:eastAsia="Times New Roman" w:cs="Times New Roman"/>
          <w:lang w:val="es-ES" w:eastAsia="es-ES"/>
        </w:rPr>
        <w:t xml:space="preserve"> de biomasa de 1 kg/h. Adicionalmente se establecen los caudales del aire tanto para la combustión como para el intercambiador de calor, porque para criterios de la simulación se tomaron valores bibliográficos y de placa de dispositivos. En términos reales de funcionamiento el caudal de aire para la combustión es de 0.034272 kg/s y para el aire calentado en el serpentín 0.0002873 kg/s.</w:t>
      </w:r>
    </w:p>
    <w:p w14:paraId="1F011C08" w14:textId="77777777" w:rsidR="006173B6" w:rsidRPr="003865C9" w:rsidRDefault="006173B6" w:rsidP="00CE34E8">
      <w:pPr>
        <w:rPr>
          <w:rFonts w:eastAsia="Times New Roman" w:cs="Times New Roman"/>
          <w:lang w:val="es-ES" w:eastAsia="es-ES"/>
        </w:rPr>
      </w:pPr>
    </w:p>
    <w:p w14:paraId="7BCE1DBC"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 xml:space="preserve">Con la ejecución de las pruebas se definen una serie de variables para tomar los correspondientes datos, </w:t>
      </w:r>
      <w:proofErr w:type="gramStart"/>
      <w:r w:rsidRPr="003865C9">
        <w:rPr>
          <w:rFonts w:eastAsia="Times New Roman" w:cs="Times New Roman"/>
          <w:lang w:val="es-ES" w:eastAsia="es-ES"/>
        </w:rPr>
        <w:t>esta</w:t>
      </w:r>
      <w:proofErr w:type="gramEnd"/>
      <w:r w:rsidRPr="003865C9">
        <w:rPr>
          <w:rFonts w:eastAsia="Times New Roman" w:cs="Times New Roman"/>
          <w:lang w:val="es-ES" w:eastAsia="es-ES"/>
        </w:rPr>
        <w:t xml:space="preserve"> variables corresponden a las temperaturas que se censan mediante elementos de medición como termómetros y termocuplas conectadas a un multímetro digital. </w:t>
      </w:r>
      <m:oMath>
        <m:sSub>
          <m:sSubPr>
            <m:ctrlPr>
              <w:rPr>
                <w:rFonts w:ascii="Cambria Math" w:eastAsia="Times New Roman" w:hAnsi="Cambria Math" w:cs="Times New Roman"/>
                <w:i/>
                <w:vertAlign w:val="subscript"/>
                <w:lang w:val="es-ES" w:eastAsia="es-ES"/>
              </w:rPr>
            </m:ctrlPr>
          </m:sSubPr>
          <m:e>
            <m:r>
              <w:rPr>
                <w:rFonts w:ascii="Cambria Math" w:eastAsia="Times New Roman" w:hAnsi="Cambria Math" w:cs="Times New Roman"/>
                <w:vertAlign w:val="subscript"/>
                <w:lang w:val="es-ES" w:eastAsia="es-ES"/>
              </w:rPr>
              <m:t>T</m:t>
            </m:r>
          </m:e>
          <m:sub>
            <m:r>
              <w:rPr>
                <w:rFonts w:ascii="Cambria Math" w:eastAsia="Times New Roman" w:hAnsi="Cambria Math" w:cs="Times New Roman"/>
                <w:vertAlign w:val="subscript"/>
                <w:lang w:val="es-ES" w:eastAsia="es-ES"/>
              </w:rPr>
              <m:t>aceite</m:t>
            </m:r>
          </m:sub>
        </m:sSub>
      </m:oMath>
      <w:r w:rsidRPr="003865C9">
        <w:rPr>
          <w:rFonts w:eastAsia="Times New Roman" w:cs="Times New Roman"/>
          <w:vertAlign w:val="subscript"/>
          <w:lang w:val="es-ES" w:eastAsia="es-ES"/>
        </w:rPr>
        <w:t xml:space="preserve"> </w:t>
      </w:r>
      <w:proofErr w:type="gramStart"/>
      <w:r w:rsidRPr="003865C9">
        <w:rPr>
          <w:rFonts w:eastAsia="Times New Roman" w:cs="Times New Roman"/>
          <w:lang w:val="es-ES" w:eastAsia="es-ES"/>
        </w:rPr>
        <w:t>es</w:t>
      </w:r>
      <w:proofErr w:type="gramEnd"/>
      <w:r w:rsidRPr="003865C9">
        <w:rPr>
          <w:rFonts w:eastAsia="Times New Roman" w:cs="Times New Roman"/>
          <w:lang w:val="es-ES" w:eastAsia="es-ES"/>
        </w:rPr>
        <w:t xml:space="preserve"> la temperatura del aceite dentro del tanque intercambiador de calor, </w:t>
      </w:r>
      <m:oMath>
        <m:sSub>
          <m:sSubPr>
            <m:ctrlPr>
              <w:rPr>
                <w:rFonts w:ascii="Cambria Math" w:eastAsia="Times New Roman" w:hAnsi="Cambria Math" w:cs="Times New Roman"/>
                <w:i/>
                <w:vertAlign w:val="subscript"/>
                <w:lang w:val="es-ES" w:eastAsia="es-ES"/>
              </w:rPr>
            </m:ctrlPr>
          </m:sSubPr>
          <m:e>
            <m:r>
              <w:rPr>
                <w:rFonts w:ascii="Cambria Math" w:eastAsia="Times New Roman" w:hAnsi="Cambria Math" w:cs="Times New Roman"/>
                <w:vertAlign w:val="subscript"/>
                <w:lang w:val="es-ES" w:eastAsia="es-ES"/>
              </w:rPr>
              <m:t>T</m:t>
            </m:r>
          </m:e>
          <m:sub>
            <m:r>
              <w:rPr>
                <w:rFonts w:ascii="Cambria Math" w:eastAsia="Times New Roman" w:hAnsi="Cambria Math" w:cs="Times New Roman"/>
                <w:vertAlign w:val="subscript"/>
                <w:lang w:val="es-ES" w:eastAsia="es-ES"/>
              </w:rPr>
              <m:t>am</m:t>
            </m:r>
          </m:sub>
        </m:sSub>
      </m:oMath>
      <w:r w:rsidRPr="003865C9">
        <w:rPr>
          <w:rFonts w:eastAsia="Times New Roman" w:cs="Times New Roman"/>
          <w:vertAlign w:val="subscript"/>
          <w:lang w:val="es-ES" w:eastAsia="es-ES"/>
        </w:rPr>
        <w:t xml:space="preserve"> </w:t>
      </w:r>
      <w:r w:rsidRPr="003865C9">
        <w:rPr>
          <w:rFonts w:eastAsia="Times New Roman" w:cs="Times New Roman"/>
          <w:lang w:val="es-ES" w:eastAsia="es-ES"/>
        </w:rPr>
        <w:t xml:space="preserve">es la correspondiente al ambiente, </w:t>
      </w:r>
      <m:oMath>
        <m:sSub>
          <m:sSubPr>
            <m:ctrlPr>
              <w:rPr>
                <w:rFonts w:ascii="Cambria Math" w:eastAsia="Times New Roman" w:hAnsi="Cambria Math" w:cs="Times New Roman"/>
                <w:i/>
                <w:vertAlign w:val="subscript"/>
                <w:lang w:val="es-ES" w:eastAsia="es-ES"/>
              </w:rPr>
            </m:ctrlPr>
          </m:sSubPr>
          <m:e>
            <m:r>
              <w:rPr>
                <w:rFonts w:ascii="Cambria Math" w:eastAsia="Times New Roman" w:hAnsi="Cambria Math" w:cs="Times New Roman"/>
                <w:vertAlign w:val="subscript"/>
                <w:lang w:val="es-ES" w:eastAsia="es-ES"/>
              </w:rPr>
              <m:t>T</m:t>
            </m:r>
          </m:e>
          <m:sub>
            <m:r>
              <w:rPr>
                <w:rFonts w:ascii="Cambria Math" w:eastAsia="Times New Roman" w:hAnsi="Cambria Math" w:cs="Times New Roman"/>
                <w:vertAlign w:val="subscript"/>
                <w:lang w:val="es-ES" w:eastAsia="es-ES"/>
              </w:rPr>
              <m:t>salida</m:t>
            </m:r>
          </m:sub>
        </m:sSub>
      </m:oMath>
      <w:r w:rsidRPr="003865C9">
        <w:rPr>
          <w:rFonts w:eastAsia="Times New Roman" w:cs="Times New Roman"/>
          <w:lang w:val="es-ES" w:eastAsia="es-ES"/>
        </w:rPr>
        <w:t xml:space="preserve"> se refiere al aire a la salida del serpentín, </w:t>
      </w:r>
      <m:oMath>
        <m:sSub>
          <m:sSubPr>
            <m:ctrlPr>
              <w:rPr>
                <w:rFonts w:ascii="Cambria Math" w:eastAsia="Times New Roman" w:hAnsi="Cambria Math" w:cs="Times New Roman"/>
                <w:i/>
                <w:vertAlign w:val="subscript"/>
                <w:lang w:val="es-ES" w:eastAsia="es-ES"/>
              </w:rPr>
            </m:ctrlPr>
          </m:sSubPr>
          <m:e>
            <m:r>
              <w:rPr>
                <w:rFonts w:ascii="Cambria Math" w:eastAsia="Times New Roman" w:hAnsi="Cambria Math" w:cs="Times New Roman"/>
                <w:vertAlign w:val="subscript"/>
                <w:lang w:val="es-ES" w:eastAsia="es-ES"/>
              </w:rPr>
              <m:t>T</m:t>
            </m:r>
          </m:e>
          <m:sub>
            <m:r>
              <w:rPr>
                <w:rFonts w:ascii="Cambria Math" w:eastAsia="Times New Roman" w:hAnsi="Cambria Math" w:cs="Times New Roman"/>
                <w:vertAlign w:val="subscript"/>
                <w:lang w:val="es-ES" w:eastAsia="es-ES"/>
              </w:rPr>
              <m:t>com</m:t>
            </m:r>
          </m:sub>
        </m:sSub>
      </m:oMath>
      <w:r w:rsidRPr="003865C9">
        <w:rPr>
          <w:rFonts w:eastAsia="Times New Roman" w:cs="Times New Roman"/>
          <w:vertAlign w:val="subscript"/>
          <w:lang w:val="es-ES" w:eastAsia="es-ES"/>
        </w:rPr>
        <w:t xml:space="preserve"> </w:t>
      </w:r>
      <w:r w:rsidRPr="003865C9">
        <w:rPr>
          <w:rFonts w:eastAsia="Times New Roman" w:cs="Times New Roman"/>
          <w:lang w:val="es-ES" w:eastAsia="es-ES"/>
        </w:rPr>
        <w:t xml:space="preserve">es la temperatura en la zona dónde se realiza la combustión de la biomasa y </w:t>
      </w:r>
      <m:oMath>
        <m:sSub>
          <m:sSubPr>
            <m:ctrlPr>
              <w:rPr>
                <w:rFonts w:ascii="Cambria Math" w:eastAsia="Times New Roman" w:hAnsi="Cambria Math" w:cs="Times New Roman"/>
                <w:i/>
                <w:vertAlign w:val="subscript"/>
                <w:lang w:val="es-ES" w:eastAsia="es-ES"/>
              </w:rPr>
            </m:ctrlPr>
          </m:sSubPr>
          <m:e>
            <m:r>
              <w:rPr>
                <w:rFonts w:ascii="Cambria Math" w:eastAsia="Times New Roman" w:hAnsi="Cambria Math" w:cs="Times New Roman"/>
                <w:vertAlign w:val="subscript"/>
                <w:lang w:val="es-ES" w:eastAsia="es-ES"/>
              </w:rPr>
              <m:t>T</m:t>
            </m:r>
          </m:e>
          <m:sub>
            <m:r>
              <w:rPr>
                <w:rFonts w:ascii="Cambria Math" w:eastAsia="Times New Roman" w:hAnsi="Cambria Math" w:cs="Times New Roman"/>
                <w:vertAlign w:val="subscript"/>
                <w:lang w:val="es-ES" w:eastAsia="es-ES"/>
              </w:rPr>
              <m:t>chi</m:t>
            </m:r>
          </m:sub>
        </m:sSub>
      </m:oMath>
      <w:r w:rsidRPr="003865C9">
        <w:rPr>
          <w:rFonts w:eastAsia="Times New Roman" w:cs="Times New Roman"/>
          <w:vertAlign w:val="subscript"/>
          <w:lang w:val="es-ES" w:eastAsia="es-ES"/>
        </w:rPr>
        <w:t xml:space="preserve"> </w:t>
      </w:r>
      <w:r w:rsidRPr="003865C9">
        <w:rPr>
          <w:rFonts w:eastAsia="Times New Roman" w:cs="Times New Roman"/>
          <w:lang w:val="es-ES" w:eastAsia="es-ES"/>
        </w:rPr>
        <w:t>es el valor medido en los gases expulsados por la chimenea del sistema.</w:t>
      </w:r>
    </w:p>
    <w:p w14:paraId="79E85EE5" w14:textId="77777777" w:rsidR="00341C07" w:rsidRPr="003865C9" w:rsidRDefault="00341C07" w:rsidP="00CE34E8">
      <w:pPr>
        <w:rPr>
          <w:rFonts w:eastAsia="Times New Roman" w:cs="Times New Roman"/>
          <w:lang w:val="es-ES" w:eastAsia="es-ES"/>
        </w:rPr>
      </w:pPr>
    </w:p>
    <w:p w14:paraId="2D57AB3C" w14:textId="77777777" w:rsidR="00CE34E8" w:rsidRPr="003865C9" w:rsidRDefault="00CE34E8" w:rsidP="00CE34E8">
      <w:pPr>
        <w:jc w:val="center"/>
        <w:rPr>
          <w:rFonts w:eastAsia="Times New Roman" w:cs="Times New Roman"/>
          <w:iCs/>
          <w:lang w:val="es-ES" w:eastAsia="es-ES"/>
        </w:rPr>
      </w:pPr>
      <w:bookmarkStart w:id="27" w:name="_Toc101276508"/>
      <w:r w:rsidRPr="003865C9">
        <w:rPr>
          <w:rFonts w:eastAsia="Times New Roman" w:cs="Times New Roman"/>
          <w:iCs/>
          <w:lang w:val="es-ES" w:eastAsia="es-ES"/>
        </w:rPr>
        <w:lastRenderedPageBreak/>
        <w:t xml:space="preserve">Tabla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Tabla \* ARABIC </w:instrText>
      </w:r>
      <w:r w:rsidRPr="003865C9">
        <w:rPr>
          <w:rFonts w:eastAsia="Times New Roman" w:cs="Times New Roman"/>
          <w:iCs/>
          <w:lang w:val="es-ES" w:eastAsia="es-ES"/>
        </w:rPr>
        <w:fldChar w:fldCharType="separate"/>
      </w:r>
      <w:r w:rsidRPr="003865C9">
        <w:rPr>
          <w:rFonts w:eastAsia="Times New Roman" w:cs="Times New Roman"/>
          <w:iCs/>
          <w:lang w:val="es-ES" w:eastAsia="es-ES"/>
        </w:rPr>
        <w:t>2</w:t>
      </w:r>
      <w:r w:rsidRPr="003865C9">
        <w:rPr>
          <w:rFonts w:eastAsia="Times New Roman" w:cs="Times New Roman"/>
          <w:lang w:eastAsia="es-ES"/>
        </w:rPr>
        <w:fldChar w:fldCharType="end"/>
      </w:r>
      <w:r w:rsidRPr="003865C9">
        <w:rPr>
          <w:rFonts w:eastAsia="Times New Roman" w:cs="Times New Roman"/>
          <w:iCs/>
          <w:lang w:val="es-ES" w:eastAsia="es-ES"/>
        </w:rPr>
        <w:t>. Datos de la prueba de funcionalidad</w:t>
      </w:r>
      <w:bookmarkEnd w:id="27"/>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793"/>
        <w:gridCol w:w="723"/>
        <w:gridCol w:w="701"/>
        <w:gridCol w:w="700"/>
        <w:gridCol w:w="509"/>
      </w:tblGrid>
      <w:tr w:rsidR="00E06167" w:rsidRPr="003865C9" w14:paraId="37C10671" w14:textId="77777777" w:rsidTr="00E06167">
        <w:trPr>
          <w:trHeight w:val="330"/>
          <w:jc w:val="center"/>
        </w:trPr>
        <w:tc>
          <w:tcPr>
            <w:tcW w:w="1158" w:type="dxa"/>
            <w:tcBorders>
              <w:top w:val="single" w:sz="4" w:space="0" w:color="auto"/>
              <w:bottom w:val="single" w:sz="4" w:space="0" w:color="auto"/>
            </w:tcBorders>
            <w:noWrap/>
            <w:vAlign w:val="center"/>
            <w:hideMark/>
          </w:tcPr>
          <w:p w14:paraId="1750F2E4" w14:textId="77777777" w:rsidR="00CE34E8" w:rsidRPr="003865C9" w:rsidRDefault="00CE34E8" w:rsidP="00CE34E8">
            <w:pPr>
              <w:rPr>
                <w:rFonts w:ascii="Times New Roman" w:eastAsia="Calibri" w:hAnsi="Times New Roman" w:cs="Times New Roman"/>
                <w:b/>
                <w:bCs/>
                <w:sz w:val="20"/>
                <w:szCs w:val="20"/>
                <w:lang w:eastAsia="es-ES"/>
              </w:rPr>
            </w:pPr>
            <w:r w:rsidRPr="003865C9">
              <w:rPr>
                <w:rFonts w:ascii="Times New Roman" w:eastAsia="Calibri" w:hAnsi="Times New Roman" w:cs="Times New Roman"/>
                <w:b/>
                <w:bCs/>
                <w:sz w:val="20"/>
                <w:szCs w:val="20"/>
                <w:lang w:val="es-ES" w:eastAsia="es-ES"/>
              </w:rPr>
              <w:t>Hora</w:t>
            </w:r>
          </w:p>
        </w:tc>
        <w:tc>
          <w:tcPr>
            <w:tcW w:w="793" w:type="dxa"/>
            <w:tcBorders>
              <w:top w:val="single" w:sz="4" w:space="0" w:color="auto"/>
              <w:bottom w:val="single" w:sz="4" w:space="0" w:color="auto"/>
            </w:tcBorders>
            <w:noWrap/>
            <w:vAlign w:val="center"/>
            <w:hideMark/>
          </w:tcPr>
          <w:p w14:paraId="1782E35B" w14:textId="0E6965E3" w:rsidR="00CE34E8" w:rsidRPr="003865C9" w:rsidRDefault="00CE34E8" w:rsidP="00CE34E8">
            <w:pPr>
              <w:rPr>
                <w:rFonts w:ascii="Times New Roman" w:eastAsia="Calibri" w:hAnsi="Times New Roman" w:cs="Times New Roman"/>
                <w:b/>
                <w:bCs/>
                <w:sz w:val="20"/>
                <w:szCs w:val="20"/>
                <w:lang w:val="es-ES" w:eastAsia="es-ES"/>
              </w:rPr>
            </w:pPr>
            <w:proofErr w:type="spellStart"/>
            <w:r w:rsidRPr="003865C9">
              <w:rPr>
                <w:rFonts w:ascii="Times New Roman" w:eastAsia="Calibri" w:hAnsi="Times New Roman" w:cs="Times New Roman"/>
                <w:b/>
                <w:bCs/>
                <w:sz w:val="20"/>
                <w:szCs w:val="20"/>
                <w:lang w:val="es-ES" w:eastAsia="es-ES"/>
              </w:rPr>
              <w:t>T</w:t>
            </w:r>
            <w:r w:rsidRPr="003865C9">
              <w:rPr>
                <w:rFonts w:ascii="Times New Roman" w:eastAsia="Calibri" w:hAnsi="Times New Roman" w:cs="Times New Roman"/>
                <w:sz w:val="20"/>
                <w:szCs w:val="20"/>
                <w:vertAlign w:val="subscript"/>
                <w:lang w:val="es-ES" w:eastAsia="es-ES"/>
              </w:rPr>
              <w:t>aceite</w:t>
            </w:r>
            <w:proofErr w:type="spellEnd"/>
          </w:p>
        </w:tc>
        <w:tc>
          <w:tcPr>
            <w:tcW w:w="723" w:type="dxa"/>
            <w:tcBorders>
              <w:top w:val="single" w:sz="4" w:space="0" w:color="auto"/>
              <w:bottom w:val="single" w:sz="4" w:space="0" w:color="auto"/>
            </w:tcBorders>
            <w:noWrap/>
            <w:vAlign w:val="center"/>
            <w:hideMark/>
          </w:tcPr>
          <w:p w14:paraId="1358DB53" w14:textId="30999156" w:rsidR="00CE34E8" w:rsidRPr="003865C9" w:rsidRDefault="00E06167" w:rsidP="00CE34E8">
            <w:pPr>
              <w:rPr>
                <w:rFonts w:ascii="Times New Roman" w:eastAsia="Calibri" w:hAnsi="Times New Roman" w:cs="Times New Roman"/>
                <w:b/>
                <w:bCs/>
                <w:sz w:val="20"/>
                <w:szCs w:val="20"/>
                <w:lang w:val="es-ES" w:eastAsia="es-ES"/>
              </w:rPr>
            </w:pPr>
            <w:proofErr w:type="spellStart"/>
            <w:r w:rsidRPr="003865C9">
              <w:rPr>
                <w:rFonts w:ascii="Times New Roman" w:eastAsia="Calibri" w:hAnsi="Times New Roman" w:cs="Times New Roman"/>
                <w:b/>
                <w:bCs/>
                <w:sz w:val="20"/>
                <w:szCs w:val="20"/>
                <w:lang w:val="es-ES" w:eastAsia="es-ES"/>
              </w:rPr>
              <w:t>T</w:t>
            </w:r>
            <w:r w:rsidR="00CE34E8" w:rsidRPr="003865C9">
              <w:rPr>
                <w:rFonts w:ascii="Times New Roman" w:eastAsia="Calibri" w:hAnsi="Times New Roman" w:cs="Times New Roman"/>
                <w:sz w:val="20"/>
                <w:szCs w:val="20"/>
                <w:vertAlign w:val="subscript"/>
                <w:lang w:val="es-ES" w:eastAsia="es-ES"/>
              </w:rPr>
              <w:t>am</w:t>
            </w:r>
            <w:r w:rsidRPr="003865C9">
              <w:rPr>
                <w:rFonts w:ascii="Times New Roman" w:eastAsia="Calibri" w:hAnsi="Times New Roman" w:cs="Times New Roman"/>
                <w:sz w:val="20"/>
                <w:szCs w:val="20"/>
                <w:vertAlign w:val="subscript"/>
                <w:lang w:val="es-ES" w:eastAsia="es-ES"/>
              </w:rPr>
              <w:t>b</w:t>
            </w:r>
            <w:proofErr w:type="spellEnd"/>
          </w:p>
        </w:tc>
        <w:tc>
          <w:tcPr>
            <w:tcW w:w="701" w:type="dxa"/>
            <w:tcBorders>
              <w:top w:val="single" w:sz="4" w:space="0" w:color="auto"/>
              <w:bottom w:val="single" w:sz="4" w:space="0" w:color="auto"/>
            </w:tcBorders>
            <w:noWrap/>
            <w:vAlign w:val="center"/>
            <w:hideMark/>
          </w:tcPr>
          <w:p w14:paraId="52E2BAA5" w14:textId="1DE98C49" w:rsidR="00CE34E8" w:rsidRPr="003865C9" w:rsidRDefault="00CE34E8" w:rsidP="00E06167">
            <w:pPr>
              <w:rPr>
                <w:rFonts w:ascii="Times New Roman" w:eastAsia="Calibri" w:hAnsi="Times New Roman" w:cs="Times New Roman"/>
                <w:b/>
                <w:bCs/>
                <w:sz w:val="20"/>
                <w:szCs w:val="20"/>
                <w:lang w:val="es-ES" w:eastAsia="es-ES"/>
              </w:rPr>
            </w:pPr>
            <w:r w:rsidRPr="003865C9">
              <w:rPr>
                <w:rFonts w:ascii="Times New Roman" w:eastAsia="Calibri" w:hAnsi="Times New Roman" w:cs="Times New Roman"/>
                <w:b/>
                <w:bCs/>
                <w:sz w:val="20"/>
                <w:szCs w:val="20"/>
                <w:lang w:val="es-ES" w:eastAsia="es-ES"/>
              </w:rPr>
              <w:t xml:space="preserve">T </w:t>
            </w:r>
            <w:r w:rsidRPr="003865C9">
              <w:rPr>
                <w:rFonts w:ascii="Times New Roman" w:eastAsia="Calibri" w:hAnsi="Times New Roman" w:cs="Times New Roman"/>
                <w:sz w:val="20"/>
                <w:szCs w:val="20"/>
                <w:vertAlign w:val="subscript"/>
                <w:lang w:val="es-ES" w:eastAsia="es-ES"/>
              </w:rPr>
              <w:t>salida</w:t>
            </w:r>
          </w:p>
        </w:tc>
        <w:tc>
          <w:tcPr>
            <w:tcW w:w="700" w:type="dxa"/>
            <w:tcBorders>
              <w:top w:val="single" w:sz="4" w:space="0" w:color="auto"/>
              <w:bottom w:val="single" w:sz="4" w:space="0" w:color="auto"/>
            </w:tcBorders>
            <w:noWrap/>
            <w:vAlign w:val="center"/>
            <w:hideMark/>
          </w:tcPr>
          <w:p w14:paraId="5F1F2E52" w14:textId="77777777" w:rsidR="00CE34E8" w:rsidRPr="003865C9" w:rsidRDefault="00CE34E8" w:rsidP="00CE34E8">
            <w:pPr>
              <w:rPr>
                <w:rFonts w:ascii="Times New Roman" w:eastAsia="Calibri" w:hAnsi="Times New Roman" w:cs="Times New Roman"/>
                <w:b/>
                <w:bCs/>
                <w:sz w:val="20"/>
                <w:szCs w:val="20"/>
                <w:lang w:val="es-ES" w:eastAsia="es-ES"/>
              </w:rPr>
            </w:pPr>
            <w:proofErr w:type="spellStart"/>
            <w:r w:rsidRPr="003865C9">
              <w:rPr>
                <w:rFonts w:ascii="Times New Roman" w:eastAsia="Calibri" w:hAnsi="Times New Roman" w:cs="Times New Roman"/>
                <w:b/>
                <w:bCs/>
                <w:sz w:val="20"/>
                <w:szCs w:val="20"/>
                <w:lang w:val="es-ES" w:eastAsia="es-ES"/>
              </w:rPr>
              <w:t>T.</w:t>
            </w:r>
            <w:r w:rsidRPr="003865C9">
              <w:rPr>
                <w:rFonts w:ascii="Times New Roman" w:eastAsia="Calibri" w:hAnsi="Times New Roman" w:cs="Times New Roman"/>
                <w:sz w:val="20"/>
                <w:szCs w:val="20"/>
                <w:vertAlign w:val="subscript"/>
                <w:lang w:val="es-ES" w:eastAsia="es-ES"/>
              </w:rPr>
              <w:t>comb</w:t>
            </w:r>
            <w:proofErr w:type="spellEnd"/>
          </w:p>
        </w:tc>
        <w:tc>
          <w:tcPr>
            <w:tcW w:w="508" w:type="dxa"/>
            <w:tcBorders>
              <w:top w:val="single" w:sz="4" w:space="0" w:color="auto"/>
              <w:bottom w:val="single" w:sz="4" w:space="0" w:color="auto"/>
            </w:tcBorders>
            <w:noWrap/>
            <w:vAlign w:val="center"/>
            <w:hideMark/>
          </w:tcPr>
          <w:p w14:paraId="4A40EC96" w14:textId="692E2E7C" w:rsidR="00CE34E8" w:rsidRPr="003865C9" w:rsidRDefault="00E06167" w:rsidP="00CE34E8">
            <w:pPr>
              <w:rPr>
                <w:rFonts w:ascii="Times New Roman" w:eastAsia="Calibri" w:hAnsi="Times New Roman" w:cs="Times New Roman"/>
                <w:b/>
                <w:bCs/>
                <w:sz w:val="20"/>
                <w:szCs w:val="20"/>
                <w:lang w:val="es-ES" w:eastAsia="es-ES"/>
              </w:rPr>
            </w:pPr>
            <w:proofErr w:type="spellStart"/>
            <w:r w:rsidRPr="003865C9">
              <w:rPr>
                <w:rFonts w:ascii="Times New Roman" w:eastAsia="Calibri" w:hAnsi="Times New Roman" w:cs="Times New Roman"/>
                <w:b/>
                <w:bCs/>
                <w:sz w:val="20"/>
                <w:szCs w:val="20"/>
                <w:lang w:val="es-ES" w:eastAsia="es-ES"/>
              </w:rPr>
              <w:t>T</w:t>
            </w:r>
            <w:r w:rsidR="00CE34E8" w:rsidRPr="003865C9">
              <w:rPr>
                <w:rFonts w:ascii="Times New Roman" w:eastAsia="Calibri" w:hAnsi="Times New Roman" w:cs="Times New Roman"/>
                <w:sz w:val="20"/>
                <w:szCs w:val="20"/>
                <w:vertAlign w:val="subscript"/>
                <w:lang w:val="es-ES" w:eastAsia="es-ES"/>
              </w:rPr>
              <w:t>chi</w:t>
            </w:r>
            <w:proofErr w:type="spellEnd"/>
          </w:p>
        </w:tc>
      </w:tr>
      <w:tr w:rsidR="00E06167" w:rsidRPr="003865C9" w14:paraId="0A78FFEE" w14:textId="77777777" w:rsidTr="00E06167">
        <w:trPr>
          <w:trHeight w:val="290"/>
          <w:jc w:val="center"/>
        </w:trPr>
        <w:tc>
          <w:tcPr>
            <w:tcW w:w="1158" w:type="dxa"/>
            <w:tcBorders>
              <w:top w:val="single" w:sz="4" w:space="0" w:color="auto"/>
            </w:tcBorders>
            <w:noWrap/>
            <w:vAlign w:val="center"/>
            <w:hideMark/>
          </w:tcPr>
          <w:p w14:paraId="0320EFA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12:00:00 p. m.</w:t>
            </w:r>
          </w:p>
        </w:tc>
        <w:tc>
          <w:tcPr>
            <w:tcW w:w="793" w:type="dxa"/>
            <w:tcBorders>
              <w:top w:val="single" w:sz="4" w:space="0" w:color="auto"/>
            </w:tcBorders>
            <w:noWrap/>
            <w:vAlign w:val="center"/>
            <w:hideMark/>
          </w:tcPr>
          <w:p w14:paraId="2195870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28</w:t>
            </w:r>
          </w:p>
        </w:tc>
        <w:tc>
          <w:tcPr>
            <w:tcW w:w="723" w:type="dxa"/>
            <w:tcBorders>
              <w:top w:val="single" w:sz="4" w:space="0" w:color="auto"/>
            </w:tcBorders>
            <w:noWrap/>
            <w:vAlign w:val="center"/>
            <w:hideMark/>
          </w:tcPr>
          <w:p w14:paraId="006A9A8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tcBorders>
              <w:top w:val="single" w:sz="4" w:space="0" w:color="auto"/>
            </w:tcBorders>
            <w:noWrap/>
            <w:vAlign w:val="center"/>
            <w:hideMark/>
          </w:tcPr>
          <w:p w14:paraId="14B5E164"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28</w:t>
            </w:r>
          </w:p>
        </w:tc>
        <w:tc>
          <w:tcPr>
            <w:tcW w:w="700" w:type="dxa"/>
            <w:tcBorders>
              <w:top w:val="single" w:sz="4" w:space="0" w:color="auto"/>
            </w:tcBorders>
            <w:noWrap/>
            <w:vAlign w:val="center"/>
            <w:hideMark/>
          </w:tcPr>
          <w:p w14:paraId="20947859"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19</w:t>
            </w:r>
          </w:p>
        </w:tc>
        <w:tc>
          <w:tcPr>
            <w:tcW w:w="508" w:type="dxa"/>
            <w:tcBorders>
              <w:top w:val="single" w:sz="4" w:space="0" w:color="auto"/>
            </w:tcBorders>
            <w:noWrap/>
            <w:vAlign w:val="center"/>
            <w:hideMark/>
          </w:tcPr>
          <w:p w14:paraId="7AD9A41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r>
      <w:tr w:rsidR="00E06167" w:rsidRPr="003865C9" w14:paraId="503A8091" w14:textId="77777777" w:rsidTr="00E06167">
        <w:trPr>
          <w:trHeight w:val="290"/>
          <w:jc w:val="center"/>
        </w:trPr>
        <w:tc>
          <w:tcPr>
            <w:tcW w:w="1158" w:type="dxa"/>
            <w:noWrap/>
            <w:vAlign w:val="center"/>
            <w:hideMark/>
          </w:tcPr>
          <w:p w14:paraId="5EFF090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12:15:00 p. m.</w:t>
            </w:r>
          </w:p>
        </w:tc>
        <w:tc>
          <w:tcPr>
            <w:tcW w:w="793" w:type="dxa"/>
            <w:noWrap/>
            <w:vAlign w:val="center"/>
            <w:hideMark/>
          </w:tcPr>
          <w:p w14:paraId="790A3AE4"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23" w:type="dxa"/>
            <w:noWrap/>
            <w:vAlign w:val="center"/>
            <w:hideMark/>
          </w:tcPr>
          <w:p w14:paraId="1882258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w:t>
            </w:r>
          </w:p>
        </w:tc>
        <w:tc>
          <w:tcPr>
            <w:tcW w:w="701" w:type="dxa"/>
            <w:noWrap/>
            <w:vAlign w:val="center"/>
            <w:hideMark/>
          </w:tcPr>
          <w:p w14:paraId="53E5964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28</w:t>
            </w:r>
          </w:p>
        </w:tc>
        <w:tc>
          <w:tcPr>
            <w:tcW w:w="700" w:type="dxa"/>
            <w:noWrap/>
            <w:vAlign w:val="center"/>
            <w:hideMark/>
          </w:tcPr>
          <w:p w14:paraId="29C25E5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23</w:t>
            </w:r>
          </w:p>
        </w:tc>
        <w:tc>
          <w:tcPr>
            <w:tcW w:w="508" w:type="dxa"/>
            <w:noWrap/>
            <w:vAlign w:val="center"/>
            <w:hideMark/>
          </w:tcPr>
          <w:p w14:paraId="20AAB6F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33</w:t>
            </w:r>
          </w:p>
        </w:tc>
      </w:tr>
      <w:tr w:rsidR="00E06167" w:rsidRPr="003865C9" w14:paraId="7003D8E3" w14:textId="77777777" w:rsidTr="00E06167">
        <w:trPr>
          <w:trHeight w:val="290"/>
          <w:jc w:val="center"/>
        </w:trPr>
        <w:tc>
          <w:tcPr>
            <w:tcW w:w="1158" w:type="dxa"/>
            <w:noWrap/>
            <w:vAlign w:val="center"/>
            <w:hideMark/>
          </w:tcPr>
          <w:p w14:paraId="6F631C2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12:30:00 p. m.</w:t>
            </w:r>
          </w:p>
        </w:tc>
        <w:tc>
          <w:tcPr>
            <w:tcW w:w="793" w:type="dxa"/>
            <w:noWrap/>
            <w:vAlign w:val="center"/>
            <w:hideMark/>
          </w:tcPr>
          <w:p w14:paraId="483C106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23" w:type="dxa"/>
            <w:noWrap/>
            <w:vAlign w:val="center"/>
            <w:hideMark/>
          </w:tcPr>
          <w:p w14:paraId="434F4D5D"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5457B6D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28</w:t>
            </w:r>
          </w:p>
        </w:tc>
        <w:tc>
          <w:tcPr>
            <w:tcW w:w="700" w:type="dxa"/>
            <w:noWrap/>
            <w:vAlign w:val="center"/>
            <w:hideMark/>
          </w:tcPr>
          <w:p w14:paraId="440EFA1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28</w:t>
            </w:r>
          </w:p>
        </w:tc>
        <w:tc>
          <w:tcPr>
            <w:tcW w:w="508" w:type="dxa"/>
            <w:noWrap/>
            <w:vAlign w:val="center"/>
            <w:hideMark/>
          </w:tcPr>
          <w:p w14:paraId="0D9D8BA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34</w:t>
            </w:r>
          </w:p>
        </w:tc>
      </w:tr>
      <w:tr w:rsidR="00E06167" w:rsidRPr="003865C9" w14:paraId="26E26880" w14:textId="77777777" w:rsidTr="00E06167">
        <w:trPr>
          <w:trHeight w:val="290"/>
          <w:jc w:val="center"/>
        </w:trPr>
        <w:tc>
          <w:tcPr>
            <w:tcW w:w="1158" w:type="dxa"/>
            <w:noWrap/>
            <w:vAlign w:val="center"/>
            <w:hideMark/>
          </w:tcPr>
          <w:p w14:paraId="5EA47E64"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12:45:00 p. m.</w:t>
            </w:r>
          </w:p>
        </w:tc>
        <w:tc>
          <w:tcPr>
            <w:tcW w:w="793" w:type="dxa"/>
            <w:noWrap/>
            <w:vAlign w:val="center"/>
            <w:hideMark/>
          </w:tcPr>
          <w:p w14:paraId="67919AD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38</w:t>
            </w:r>
          </w:p>
        </w:tc>
        <w:tc>
          <w:tcPr>
            <w:tcW w:w="723" w:type="dxa"/>
            <w:noWrap/>
            <w:vAlign w:val="center"/>
            <w:hideMark/>
          </w:tcPr>
          <w:p w14:paraId="57ED319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4195779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32</w:t>
            </w:r>
          </w:p>
        </w:tc>
        <w:tc>
          <w:tcPr>
            <w:tcW w:w="700" w:type="dxa"/>
            <w:noWrap/>
            <w:vAlign w:val="center"/>
            <w:hideMark/>
          </w:tcPr>
          <w:p w14:paraId="1E1A3CC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29</w:t>
            </w:r>
          </w:p>
        </w:tc>
        <w:tc>
          <w:tcPr>
            <w:tcW w:w="508" w:type="dxa"/>
            <w:noWrap/>
            <w:vAlign w:val="center"/>
            <w:hideMark/>
          </w:tcPr>
          <w:p w14:paraId="6F9AF629"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37</w:t>
            </w:r>
          </w:p>
        </w:tc>
      </w:tr>
      <w:tr w:rsidR="00E06167" w:rsidRPr="003865C9" w14:paraId="6B0929F5" w14:textId="77777777" w:rsidTr="00E06167">
        <w:trPr>
          <w:trHeight w:val="290"/>
          <w:jc w:val="center"/>
        </w:trPr>
        <w:tc>
          <w:tcPr>
            <w:tcW w:w="1158" w:type="dxa"/>
            <w:noWrap/>
            <w:vAlign w:val="center"/>
            <w:hideMark/>
          </w:tcPr>
          <w:p w14:paraId="56CFB5A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1:00:00 p. m.</w:t>
            </w:r>
          </w:p>
        </w:tc>
        <w:tc>
          <w:tcPr>
            <w:tcW w:w="793" w:type="dxa"/>
            <w:noWrap/>
            <w:vAlign w:val="center"/>
            <w:hideMark/>
          </w:tcPr>
          <w:p w14:paraId="7979195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42</w:t>
            </w:r>
          </w:p>
        </w:tc>
        <w:tc>
          <w:tcPr>
            <w:tcW w:w="723" w:type="dxa"/>
            <w:noWrap/>
            <w:vAlign w:val="center"/>
            <w:hideMark/>
          </w:tcPr>
          <w:p w14:paraId="35CD1B1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1895BD3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36</w:t>
            </w:r>
          </w:p>
        </w:tc>
        <w:tc>
          <w:tcPr>
            <w:tcW w:w="700" w:type="dxa"/>
            <w:noWrap/>
            <w:vAlign w:val="center"/>
            <w:hideMark/>
          </w:tcPr>
          <w:p w14:paraId="4387C73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298</w:t>
            </w:r>
          </w:p>
        </w:tc>
        <w:tc>
          <w:tcPr>
            <w:tcW w:w="508" w:type="dxa"/>
            <w:noWrap/>
            <w:vAlign w:val="center"/>
            <w:hideMark/>
          </w:tcPr>
          <w:p w14:paraId="4AF318B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41</w:t>
            </w:r>
          </w:p>
        </w:tc>
      </w:tr>
      <w:tr w:rsidR="00E06167" w:rsidRPr="003865C9" w14:paraId="3657DA9B" w14:textId="77777777" w:rsidTr="00E06167">
        <w:trPr>
          <w:trHeight w:val="290"/>
          <w:jc w:val="center"/>
        </w:trPr>
        <w:tc>
          <w:tcPr>
            <w:tcW w:w="1158" w:type="dxa"/>
            <w:noWrap/>
            <w:vAlign w:val="center"/>
            <w:hideMark/>
          </w:tcPr>
          <w:p w14:paraId="599B7C49"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1:15:00 p. m.</w:t>
            </w:r>
          </w:p>
        </w:tc>
        <w:tc>
          <w:tcPr>
            <w:tcW w:w="793" w:type="dxa"/>
            <w:noWrap/>
            <w:vAlign w:val="center"/>
            <w:hideMark/>
          </w:tcPr>
          <w:p w14:paraId="3CFBE61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43</w:t>
            </w:r>
          </w:p>
        </w:tc>
        <w:tc>
          <w:tcPr>
            <w:tcW w:w="723" w:type="dxa"/>
            <w:noWrap/>
            <w:vAlign w:val="center"/>
            <w:hideMark/>
          </w:tcPr>
          <w:p w14:paraId="26B6FDF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w:t>
            </w:r>
          </w:p>
        </w:tc>
        <w:tc>
          <w:tcPr>
            <w:tcW w:w="701" w:type="dxa"/>
            <w:noWrap/>
            <w:vAlign w:val="center"/>
            <w:hideMark/>
          </w:tcPr>
          <w:p w14:paraId="5538A426"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39</w:t>
            </w:r>
          </w:p>
        </w:tc>
        <w:tc>
          <w:tcPr>
            <w:tcW w:w="700" w:type="dxa"/>
            <w:noWrap/>
            <w:vAlign w:val="center"/>
            <w:hideMark/>
          </w:tcPr>
          <w:p w14:paraId="78FE15F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187</w:t>
            </w:r>
          </w:p>
        </w:tc>
        <w:tc>
          <w:tcPr>
            <w:tcW w:w="508" w:type="dxa"/>
            <w:noWrap/>
            <w:vAlign w:val="center"/>
            <w:hideMark/>
          </w:tcPr>
          <w:p w14:paraId="469DFF4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43</w:t>
            </w:r>
          </w:p>
        </w:tc>
      </w:tr>
      <w:tr w:rsidR="00E06167" w:rsidRPr="003865C9" w14:paraId="2168CDBB" w14:textId="77777777" w:rsidTr="00E06167">
        <w:trPr>
          <w:trHeight w:val="290"/>
          <w:jc w:val="center"/>
        </w:trPr>
        <w:tc>
          <w:tcPr>
            <w:tcW w:w="1158" w:type="dxa"/>
            <w:noWrap/>
            <w:vAlign w:val="center"/>
            <w:hideMark/>
          </w:tcPr>
          <w:p w14:paraId="636A3789"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1:30:00 p. m.</w:t>
            </w:r>
          </w:p>
        </w:tc>
        <w:tc>
          <w:tcPr>
            <w:tcW w:w="793" w:type="dxa"/>
            <w:noWrap/>
            <w:vAlign w:val="center"/>
            <w:hideMark/>
          </w:tcPr>
          <w:p w14:paraId="7CE16AB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47</w:t>
            </w:r>
          </w:p>
        </w:tc>
        <w:tc>
          <w:tcPr>
            <w:tcW w:w="723" w:type="dxa"/>
            <w:noWrap/>
            <w:vAlign w:val="center"/>
            <w:hideMark/>
          </w:tcPr>
          <w:p w14:paraId="6EC7060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w:t>
            </w:r>
          </w:p>
        </w:tc>
        <w:tc>
          <w:tcPr>
            <w:tcW w:w="701" w:type="dxa"/>
            <w:noWrap/>
            <w:vAlign w:val="center"/>
            <w:hideMark/>
          </w:tcPr>
          <w:p w14:paraId="643F32CD"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41</w:t>
            </w:r>
          </w:p>
        </w:tc>
        <w:tc>
          <w:tcPr>
            <w:tcW w:w="700" w:type="dxa"/>
            <w:noWrap/>
            <w:vAlign w:val="center"/>
            <w:hideMark/>
          </w:tcPr>
          <w:p w14:paraId="678CD0D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115</w:t>
            </w:r>
          </w:p>
        </w:tc>
        <w:tc>
          <w:tcPr>
            <w:tcW w:w="508" w:type="dxa"/>
            <w:noWrap/>
            <w:vAlign w:val="center"/>
            <w:hideMark/>
          </w:tcPr>
          <w:p w14:paraId="2034B74D"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42</w:t>
            </w:r>
          </w:p>
        </w:tc>
      </w:tr>
      <w:tr w:rsidR="00E06167" w:rsidRPr="003865C9" w14:paraId="5256A200" w14:textId="77777777" w:rsidTr="00E06167">
        <w:trPr>
          <w:trHeight w:val="290"/>
          <w:jc w:val="center"/>
        </w:trPr>
        <w:tc>
          <w:tcPr>
            <w:tcW w:w="1158" w:type="dxa"/>
            <w:noWrap/>
            <w:vAlign w:val="center"/>
            <w:hideMark/>
          </w:tcPr>
          <w:p w14:paraId="4CA940B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1:45:00 p. m.</w:t>
            </w:r>
          </w:p>
        </w:tc>
        <w:tc>
          <w:tcPr>
            <w:tcW w:w="793" w:type="dxa"/>
            <w:noWrap/>
            <w:vAlign w:val="center"/>
            <w:hideMark/>
          </w:tcPr>
          <w:p w14:paraId="1424BF1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52</w:t>
            </w:r>
          </w:p>
        </w:tc>
        <w:tc>
          <w:tcPr>
            <w:tcW w:w="723" w:type="dxa"/>
            <w:noWrap/>
            <w:vAlign w:val="center"/>
            <w:hideMark/>
          </w:tcPr>
          <w:p w14:paraId="60C4A76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32</w:t>
            </w:r>
          </w:p>
        </w:tc>
        <w:tc>
          <w:tcPr>
            <w:tcW w:w="701" w:type="dxa"/>
            <w:noWrap/>
            <w:vAlign w:val="center"/>
            <w:hideMark/>
          </w:tcPr>
          <w:p w14:paraId="7358166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46</w:t>
            </w:r>
          </w:p>
        </w:tc>
        <w:tc>
          <w:tcPr>
            <w:tcW w:w="700" w:type="dxa"/>
            <w:noWrap/>
            <w:vAlign w:val="center"/>
            <w:hideMark/>
          </w:tcPr>
          <w:p w14:paraId="155F64E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347</w:t>
            </w:r>
          </w:p>
        </w:tc>
        <w:tc>
          <w:tcPr>
            <w:tcW w:w="508" w:type="dxa"/>
            <w:noWrap/>
            <w:vAlign w:val="center"/>
            <w:hideMark/>
          </w:tcPr>
          <w:p w14:paraId="07AEA75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41</w:t>
            </w:r>
          </w:p>
        </w:tc>
      </w:tr>
      <w:tr w:rsidR="00E06167" w:rsidRPr="003865C9" w14:paraId="52FA57B0" w14:textId="77777777" w:rsidTr="00E06167">
        <w:trPr>
          <w:trHeight w:val="290"/>
          <w:jc w:val="center"/>
        </w:trPr>
        <w:tc>
          <w:tcPr>
            <w:tcW w:w="1158" w:type="dxa"/>
            <w:noWrap/>
            <w:vAlign w:val="center"/>
            <w:hideMark/>
          </w:tcPr>
          <w:p w14:paraId="6091BB55"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2:00:00 p. m.</w:t>
            </w:r>
          </w:p>
        </w:tc>
        <w:tc>
          <w:tcPr>
            <w:tcW w:w="793" w:type="dxa"/>
            <w:noWrap/>
            <w:vAlign w:val="center"/>
            <w:hideMark/>
          </w:tcPr>
          <w:p w14:paraId="51CC83D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57</w:t>
            </w:r>
          </w:p>
        </w:tc>
        <w:tc>
          <w:tcPr>
            <w:tcW w:w="723" w:type="dxa"/>
            <w:noWrap/>
            <w:vAlign w:val="center"/>
            <w:hideMark/>
          </w:tcPr>
          <w:p w14:paraId="2DEAD8C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32</w:t>
            </w:r>
          </w:p>
        </w:tc>
        <w:tc>
          <w:tcPr>
            <w:tcW w:w="701" w:type="dxa"/>
            <w:noWrap/>
            <w:vAlign w:val="center"/>
            <w:hideMark/>
          </w:tcPr>
          <w:p w14:paraId="258A0B14"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51</w:t>
            </w:r>
          </w:p>
        </w:tc>
        <w:tc>
          <w:tcPr>
            <w:tcW w:w="700" w:type="dxa"/>
            <w:noWrap/>
            <w:vAlign w:val="center"/>
            <w:hideMark/>
          </w:tcPr>
          <w:p w14:paraId="3BD7C32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315</w:t>
            </w:r>
          </w:p>
        </w:tc>
        <w:tc>
          <w:tcPr>
            <w:tcW w:w="508" w:type="dxa"/>
            <w:noWrap/>
            <w:vAlign w:val="center"/>
            <w:hideMark/>
          </w:tcPr>
          <w:p w14:paraId="5F6579B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43</w:t>
            </w:r>
          </w:p>
        </w:tc>
      </w:tr>
      <w:tr w:rsidR="00E06167" w:rsidRPr="003865C9" w14:paraId="36D43CBF" w14:textId="77777777" w:rsidTr="00E06167">
        <w:trPr>
          <w:trHeight w:val="290"/>
          <w:jc w:val="center"/>
        </w:trPr>
        <w:tc>
          <w:tcPr>
            <w:tcW w:w="1158" w:type="dxa"/>
            <w:noWrap/>
            <w:vAlign w:val="center"/>
            <w:hideMark/>
          </w:tcPr>
          <w:p w14:paraId="6902D35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2:15:00 p. m.</w:t>
            </w:r>
          </w:p>
        </w:tc>
        <w:tc>
          <w:tcPr>
            <w:tcW w:w="793" w:type="dxa"/>
            <w:noWrap/>
            <w:vAlign w:val="center"/>
            <w:hideMark/>
          </w:tcPr>
          <w:p w14:paraId="2C730A6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57</w:t>
            </w:r>
          </w:p>
        </w:tc>
        <w:tc>
          <w:tcPr>
            <w:tcW w:w="723" w:type="dxa"/>
            <w:noWrap/>
            <w:vAlign w:val="center"/>
            <w:hideMark/>
          </w:tcPr>
          <w:p w14:paraId="5463AC32"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w:t>
            </w:r>
          </w:p>
        </w:tc>
        <w:tc>
          <w:tcPr>
            <w:tcW w:w="701" w:type="dxa"/>
            <w:noWrap/>
            <w:vAlign w:val="center"/>
            <w:hideMark/>
          </w:tcPr>
          <w:p w14:paraId="0ED1E7A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51</w:t>
            </w:r>
          </w:p>
        </w:tc>
        <w:tc>
          <w:tcPr>
            <w:tcW w:w="700" w:type="dxa"/>
            <w:noWrap/>
            <w:vAlign w:val="center"/>
            <w:hideMark/>
          </w:tcPr>
          <w:p w14:paraId="25B01A2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257</w:t>
            </w:r>
          </w:p>
        </w:tc>
        <w:tc>
          <w:tcPr>
            <w:tcW w:w="508" w:type="dxa"/>
            <w:noWrap/>
            <w:vAlign w:val="center"/>
            <w:hideMark/>
          </w:tcPr>
          <w:p w14:paraId="6FE81E0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42</w:t>
            </w:r>
          </w:p>
        </w:tc>
      </w:tr>
      <w:tr w:rsidR="00E06167" w:rsidRPr="003865C9" w14:paraId="5687C227" w14:textId="77777777" w:rsidTr="00E06167">
        <w:trPr>
          <w:trHeight w:val="290"/>
          <w:jc w:val="center"/>
        </w:trPr>
        <w:tc>
          <w:tcPr>
            <w:tcW w:w="1158" w:type="dxa"/>
            <w:noWrap/>
            <w:vAlign w:val="center"/>
            <w:hideMark/>
          </w:tcPr>
          <w:p w14:paraId="072B3532"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2:30:00 p. m.</w:t>
            </w:r>
          </w:p>
        </w:tc>
        <w:tc>
          <w:tcPr>
            <w:tcW w:w="793" w:type="dxa"/>
            <w:noWrap/>
            <w:vAlign w:val="center"/>
            <w:hideMark/>
          </w:tcPr>
          <w:p w14:paraId="1FA46F6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60</w:t>
            </w:r>
          </w:p>
        </w:tc>
        <w:tc>
          <w:tcPr>
            <w:tcW w:w="723" w:type="dxa"/>
            <w:noWrap/>
            <w:vAlign w:val="center"/>
            <w:hideMark/>
          </w:tcPr>
          <w:p w14:paraId="025334D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4D1DDA5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54</w:t>
            </w:r>
          </w:p>
        </w:tc>
        <w:tc>
          <w:tcPr>
            <w:tcW w:w="700" w:type="dxa"/>
            <w:noWrap/>
            <w:vAlign w:val="center"/>
            <w:hideMark/>
          </w:tcPr>
          <w:p w14:paraId="0D4E201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202</w:t>
            </w:r>
          </w:p>
        </w:tc>
        <w:tc>
          <w:tcPr>
            <w:tcW w:w="508" w:type="dxa"/>
            <w:noWrap/>
            <w:vAlign w:val="center"/>
            <w:hideMark/>
          </w:tcPr>
          <w:p w14:paraId="0931CCB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42</w:t>
            </w:r>
          </w:p>
        </w:tc>
      </w:tr>
      <w:tr w:rsidR="00E06167" w:rsidRPr="003865C9" w14:paraId="08B65CA8" w14:textId="77777777" w:rsidTr="00E06167">
        <w:trPr>
          <w:trHeight w:val="290"/>
          <w:jc w:val="center"/>
        </w:trPr>
        <w:tc>
          <w:tcPr>
            <w:tcW w:w="1158" w:type="dxa"/>
            <w:noWrap/>
            <w:vAlign w:val="center"/>
            <w:hideMark/>
          </w:tcPr>
          <w:p w14:paraId="3130300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2:45:00 p. m.</w:t>
            </w:r>
          </w:p>
        </w:tc>
        <w:tc>
          <w:tcPr>
            <w:tcW w:w="793" w:type="dxa"/>
            <w:noWrap/>
            <w:vAlign w:val="center"/>
            <w:hideMark/>
          </w:tcPr>
          <w:p w14:paraId="20B0536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62</w:t>
            </w:r>
          </w:p>
        </w:tc>
        <w:tc>
          <w:tcPr>
            <w:tcW w:w="723" w:type="dxa"/>
            <w:noWrap/>
            <w:vAlign w:val="center"/>
            <w:hideMark/>
          </w:tcPr>
          <w:p w14:paraId="277CEA8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7E3E9296"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56</w:t>
            </w:r>
          </w:p>
        </w:tc>
        <w:tc>
          <w:tcPr>
            <w:tcW w:w="700" w:type="dxa"/>
            <w:noWrap/>
            <w:vAlign w:val="center"/>
            <w:hideMark/>
          </w:tcPr>
          <w:p w14:paraId="418A7842"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165</w:t>
            </w:r>
          </w:p>
        </w:tc>
        <w:tc>
          <w:tcPr>
            <w:tcW w:w="508" w:type="dxa"/>
            <w:noWrap/>
            <w:vAlign w:val="center"/>
            <w:hideMark/>
          </w:tcPr>
          <w:p w14:paraId="783447E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43</w:t>
            </w:r>
          </w:p>
        </w:tc>
      </w:tr>
      <w:tr w:rsidR="00E06167" w:rsidRPr="003865C9" w14:paraId="20871E79" w14:textId="77777777" w:rsidTr="00E06167">
        <w:trPr>
          <w:trHeight w:val="290"/>
          <w:jc w:val="center"/>
        </w:trPr>
        <w:tc>
          <w:tcPr>
            <w:tcW w:w="1158" w:type="dxa"/>
            <w:noWrap/>
            <w:vAlign w:val="center"/>
            <w:hideMark/>
          </w:tcPr>
          <w:p w14:paraId="570D4B4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3:00:00 p. m.</w:t>
            </w:r>
          </w:p>
        </w:tc>
        <w:tc>
          <w:tcPr>
            <w:tcW w:w="793" w:type="dxa"/>
            <w:noWrap/>
            <w:vAlign w:val="center"/>
            <w:hideMark/>
          </w:tcPr>
          <w:p w14:paraId="340EEAF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62</w:t>
            </w:r>
          </w:p>
        </w:tc>
        <w:tc>
          <w:tcPr>
            <w:tcW w:w="723" w:type="dxa"/>
            <w:noWrap/>
            <w:vAlign w:val="center"/>
            <w:hideMark/>
          </w:tcPr>
          <w:p w14:paraId="3B58FAB2"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5F9646E5"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55</w:t>
            </w:r>
          </w:p>
        </w:tc>
        <w:tc>
          <w:tcPr>
            <w:tcW w:w="700" w:type="dxa"/>
            <w:noWrap/>
            <w:vAlign w:val="center"/>
            <w:hideMark/>
          </w:tcPr>
          <w:p w14:paraId="232A9CE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220</w:t>
            </w:r>
          </w:p>
        </w:tc>
        <w:tc>
          <w:tcPr>
            <w:tcW w:w="508" w:type="dxa"/>
            <w:noWrap/>
            <w:vAlign w:val="center"/>
            <w:hideMark/>
          </w:tcPr>
          <w:p w14:paraId="34D312D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44</w:t>
            </w:r>
          </w:p>
        </w:tc>
      </w:tr>
      <w:tr w:rsidR="00E06167" w:rsidRPr="003865C9" w14:paraId="15662DAD" w14:textId="77777777" w:rsidTr="00E06167">
        <w:trPr>
          <w:trHeight w:val="290"/>
          <w:jc w:val="center"/>
        </w:trPr>
        <w:tc>
          <w:tcPr>
            <w:tcW w:w="1158" w:type="dxa"/>
            <w:noWrap/>
            <w:vAlign w:val="center"/>
            <w:hideMark/>
          </w:tcPr>
          <w:p w14:paraId="7AA8C34C"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3:15:00 p. m.</w:t>
            </w:r>
          </w:p>
        </w:tc>
        <w:tc>
          <w:tcPr>
            <w:tcW w:w="793" w:type="dxa"/>
            <w:noWrap/>
            <w:vAlign w:val="center"/>
            <w:hideMark/>
          </w:tcPr>
          <w:p w14:paraId="3759356B"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61</w:t>
            </w:r>
          </w:p>
        </w:tc>
        <w:tc>
          <w:tcPr>
            <w:tcW w:w="723" w:type="dxa"/>
            <w:noWrap/>
            <w:vAlign w:val="center"/>
            <w:hideMark/>
          </w:tcPr>
          <w:p w14:paraId="7463189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18B461E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54</w:t>
            </w:r>
          </w:p>
        </w:tc>
        <w:tc>
          <w:tcPr>
            <w:tcW w:w="700" w:type="dxa"/>
            <w:noWrap/>
            <w:vAlign w:val="center"/>
            <w:hideMark/>
          </w:tcPr>
          <w:p w14:paraId="5B1DBCF4"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180</w:t>
            </w:r>
          </w:p>
        </w:tc>
        <w:tc>
          <w:tcPr>
            <w:tcW w:w="508" w:type="dxa"/>
            <w:noWrap/>
            <w:vAlign w:val="center"/>
            <w:hideMark/>
          </w:tcPr>
          <w:p w14:paraId="1EE6C026"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42</w:t>
            </w:r>
          </w:p>
        </w:tc>
      </w:tr>
      <w:tr w:rsidR="00E06167" w:rsidRPr="003865C9" w14:paraId="23AE1BC7" w14:textId="77777777" w:rsidTr="00E06167">
        <w:trPr>
          <w:trHeight w:val="290"/>
          <w:jc w:val="center"/>
        </w:trPr>
        <w:tc>
          <w:tcPr>
            <w:tcW w:w="1158" w:type="dxa"/>
            <w:noWrap/>
            <w:vAlign w:val="center"/>
            <w:hideMark/>
          </w:tcPr>
          <w:p w14:paraId="0BF2FE59"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3:30:00 p. m.</w:t>
            </w:r>
          </w:p>
        </w:tc>
        <w:tc>
          <w:tcPr>
            <w:tcW w:w="793" w:type="dxa"/>
            <w:noWrap/>
            <w:vAlign w:val="center"/>
            <w:hideMark/>
          </w:tcPr>
          <w:p w14:paraId="04144E2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64</w:t>
            </w:r>
          </w:p>
        </w:tc>
        <w:tc>
          <w:tcPr>
            <w:tcW w:w="723" w:type="dxa"/>
            <w:noWrap/>
            <w:vAlign w:val="center"/>
            <w:hideMark/>
          </w:tcPr>
          <w:p w14:paraId="1A074CB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2516EFCF"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57</w:t>
            </w:r>
          </w:p>
        </w:tc>
        <w:tc>
          <w:tcPr>
            <w:tcW w:w="700" w:type="dxa"/>
            <w:noWrap/>
            <w:vAlign w:val="center"/>
            <w:hideMark/>
          </w:tcPr>
          <w:p w14:paraId="7BFA9E2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151</w:t>
            </w:r>
          </w:p>
        </w:tc>
        <w:tc>
          <w:tcPr>
            <w:tcW w:w="508" w:type="dxa"/>
            <w:noWrap/>
            <w:vAlign w:val="center"/>
            <w:hideMark/>
          </w:tcPr>
          <w:p w14:paraId="58933D9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46</w:t>
            </w:r>
          </w:p>
        </w:tc>
      </w:tr>
      <w:tr w:rsidR="00E06167" w:rsidRPr="003865C9" w14:paraId="25B43680" w14:textId="77777777" w:rsidTr="00E06167">
        <w:trPr>
          <w:trHeight w:val="290"/>
          <w:jc w:val="center"/>
        </w:trPr>
        <w:tc>
          <w:tcPr>
            <w:tcW w:w="1158" w:type="dxa"/>
            <w:noWrap/>
            <w:vAlign w:val="center"/>
            <w:hideMark/>
          </w:tcPr>
          <w:p w14:paraId="696C5FEE"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3:45:00 p. m.</w:t>
            </w:r>
          </w:p>
        </w:tc>
        <w:tc>
          <w:tcPr>
            <w:tcW w:w="793" w:type="dxa"/>
            <w:noWrap/>
            <w:vAlign w:val="center"/>
            <w:hideMark/>
          </w:tcPr>
          <w:p w14:paraId="7DA927F7"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67</w:t>
            </w:r>
          </w:p>
        </w:tc>
        <w:tc>
          <w:tcPr>
            <w:tcW w:w="723" w:type="dxa"/>
            <w:noWrap/>
            <w:vAlign w:val="center"/>
            <w:hideMark/>
          </w:tcPr>
          <w:p w14:paraId="5D6F2E42"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noWrap/>
            <w:vAlign w:val="center"/>
            <w:hideMark/>
          </w:tcPr>
          <w:p w14:paraId="0D4E79AA"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60</w:t>
            </w:r>
          </w:p>
        </w:tc>
        <w:tc>
          <w:tcPr>
            <w:tcW w:w="700" w:type="dxa"/>
            <w:noWrap/>
            <w:vAlign w:val="center"/>
            <w:hideMark/>
          </w:tcPr>
          <w:p w14:paraId="169E208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133</w:t>
            </w:r>
          </w:p>
        </w:tc>
        <w:tc>
          <w:tcPr>
            <w:tcW w:w="508" w:type="dxa"/>
            <w:noWrap/>
            <w:vAlign w:val="center"/>
            <w:hideMark/>
          </w:tcPr>
          <w:p w14:paraId="4B520C71"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48</w:t>
            </w:r>
          </w:p>
        </w:tc>
      </w:tr>
      <w:tr w:rsidR="00E06167" w:rsidRPr="003865C9" w14:paraId="667D4D09" w14:textId="77777777" w:rsidTr="00E06167">
        <w:trPr>
          <w:trHeight w:val="290"/>
          <w:jc w:val="center"/>
        </w:trPr>
        <w:tc>
          <w:tcPr>
            <w:tcW w:w="1158" w:type="dxa"/>
            <w:tcBorders>
              <w:bottom w:val="single" w:sz="4" w:space="0" w:color="auto"/>
            </w:tcBorders>
            <w:noWrap/>
            <w:vAlign w:val="center"/>
            <w:hideMark/>
          </w:tcPr>
          <w:p w14:paraId="0D9B921D"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4:00:00 p. m.</w:t>
            </w:r>
          </w:p>
        </w:tc>
        <w:tc>
          <w:tcPr>
            <w:tcW w:w="793" w:type="dxa"/>
            <w:tcBorders>
              <w:bottom w:val="single" w:sz="4" w:space="0" w:color="auto"/>
            </w:tcBorders>
            <w:noWrap/>
            <w:vAlign w:val="center"/>
            <w:hideMark/>
          </w:tcPr>
          <w:p w14:paraId="24410C3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67</w:t>
            </w:r>
          </w:p>
        </w:tc>
        <w:tc>
          <w:tcPr>
            <w:tcW w:w="723" w:type="dxa"/>
            <w:tcBorders>
              <w:bottom w:val="single" w:sz="4" w:space="0" w:color="auto"/>
            </w:tcBorders>
            <w:noWrap/>
            <w:vAlign w:val="center"/>
            <w:hideMark/>
          </w:tcPr>
          <w:p w14:paraId="6E7DB3B3"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30</w:t>
            </w:r>
          </w:p>
        </w:tc>
        <w:tc>
          <w:tcPr>
            <w:tcW w:w="701" w:type="dxa"/>
            <w:tcBorders>
              <w:bottom w:val="single" w:sz="4" w:space="0" w:color="auto"/>
            </w:tcBorders>
            <w:noWrap/>
            <w:vAlign w:val="center"/>
            <w:hideMark/>
          </w:tcPr>
          <w:p w14:paraId="6763DC8D"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60</w:t>
            </w:r>
          </w:p>
        </w:tc>
        <w:tc>
          <w:tcPr>
            <w:tcW w:w="700" w:type="dxa"/>
            <w:tcBorders>
              <w:bottom w:val="single" w:sz="4" w:space="0" w:color="auto"/>
            </w:tcBorders>
            <w:noWrap/>
            <w:vAlign w:val="center"/>
            <w:hideMark/>
          </w:tcPr>
          <w:p w14:paraId="7D10F718"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25</w:t>
            </w:r>
          </w:p>
        </w:tc>
        <w:tc>
          <w:tcPr>
            <w:tcW w:w="508" w:type="dxa"/>
            <w:tcBorders>
              <w:bottom w:val="single" w:sz="4" w:space="0" w:color="auto"/>
            </w:tcBorders>
            <w:noWrap/>
            <w:vAlign w:val="center"/>
            <w:hideMark/>
          </w:tcPr>
          <w:p w14:paraId="0EE446D0" w14:textId="77777777" w:rsidR="00CE34E8" w:rsidRPr="003865C9" w:rsidRDefault="00CE34E8" w:rsidP="00CE34E8">
            <w:pPr>
              <w:rPr>
                <w:rFonts w:ascii="Times New Roman" w:eastAsia="Calibri" w:hAnsi="Times New Roman" w:cs="Times New Roman"/>
                <w:sz w:val="20"/>
                <w:szCs w:val="20"/>
                <w:lang w:val="es-ES" w:eastAsia="es-ES"/>
              </w:rPr>
            </w:pPr>
            <w:r w:rsidRPr="003865C9">
              <w:rPr>
                <w:rFonts w:ascii="Times New Roman" w:eastAsia="Calibri" w:hAnsi="Times New Roman" w:cs="Times New Roman"/>
                <w:sz w:val="20"/>
                <w:szCs w:val="20"/>
                <w:lang w:val="es-ES" w:eastAsia="es-ES"/>
              </w:rPr>
              <w:t>50</w:t>
            </w:r>
          </w:p>
        </w:tc>
      </w:tr>
    </w:tbl>
    <w:p w14:paraId="70014A4D" w14:textId="77777777" w:rsidR="00CE34E8" w:rsidRPr="003865C9" w:rsidRDefault="00CE34E8" w:rsidP="00CE34E8">
      <w:pPr>
        <w:jc w:val="center"/>
        <w:rPr>
          <w:rFonts w:eastAsia="Times New Roman" w:cs="Times New Roman"/>
          <w:i/>
          <w:iCs/>
          <w:lang w:val="es-ES" w:eastAsia="es-ES"/>
        </w:rPr>
      </w:pPr>
      <w:r w:rsidRPr="003865C9">
        <w:rPr>
          <w:rFonts w:eastAsia="Times New Roman" w:cs="Times New Roman"/>
          <w:i/>
          <w:iCs/>
          <w:lang w:val="es-ES" w:eastAsia="es-ES"/>
        </w:rPr>
        <w:t>Fuente: autores</w:t>
      </w:r>
    </w:p>
    <w:p w14:paraId="38BE1D83" w14:textId="77777777" w:rsidR="00CD03ED" w:rsidRPr="003865C9" w:rsidRDefault="00CD03ED" w:rsidP="00CE34E8">
      <w:pPr>
        <w:jc w:val="center"/>
        <w:rPr>
          <w:rFonts w:eastAsia="Times New Roman" w:cs="Times New Roman"/>
          <w:i/>
          <w:iCs/>
          <w:lang w:val="es-ES" w:eastAsia="es-ES"/>
        </w:rPr>
      </w:pPr>
    </w:p>
    <w:p w14:paraId="7C8C6BB9"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t>Para lograr apreciar de forma más ágil el comportamiento de las variables se presentan las siguientes gráficas.</w:t>
      </w:r>
    </w:p>
    <w:p w14:paraId="089D2DCF" w14:textId="77777777" w:rsidR="006173B6" w:rsidRPr="003865C9" w:rsidRDefault="006173B6" w:rsidP="00CE34E8">
      <w:pPr>
        <w:rPr>
          <w:rFonts w:eastAsia="Times New Roman" w:cs="Times New Roman"/>
          <w:lang w:val="es-ES" w:eastAsia="es-ES"/>
        </w:rPr>
      </w:pPr>
    </w:p>
    <w:p w14:paraId="320D8CDF" w14:textId="77777777" w:rsidR="00CE34E8" w:rsidRPr="003865C9" w:rsidRDefault="00CE34E8" w:rsidP="00CE34E8">
      <w:pPr>
        <w:jc w:val="center"/>
        <w:rPr>
          <w:rFonts w:eastAsia="Times New Roman" w:cs="Times New Roman"/>
          <w:iCs/>
          <w:lang w:val="es-ES" w:eastAsia="es-ES"/>
        </w:rPr>
      </w:pPr>
      <w:bookmarkStart w:id="28" w:name="_Toc101276594"/>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15</w:t>
      </w:r>
      <w:r w:rsidRPr="003865C9">
        <w:rPr>
          <w:rFonts w:eastAsia="Times New Roman" w:cs="Times New Roman"/>
          <w:lang w:eastAsia="es-ES"/>
        </w:rPr>
        <w:fldChar w:fldCharType="end"/>
      </w:r>
      <w:r w:rsidRPr="003865C9">
        <w:rPr>
          <w:rFonts w:eastAsia="Times New Roman" w:cs="Times New Roman"/>
          <w:iCs/>
          <w:lang w:val="es-ES" w:eastAsia="es-ES"/>
        </w:rPr>
        <w:t>. Temperaturas en el intercambiador de calor</w:t>
      </w:r>
      <w:bookmarkEnd w:id="28"/>
    </w:p>
    <w:p w14:paraId="4CE219CF" w14:textId="77777777" w:rsidR="00CE34E8" w:rsidRPr="003865C9" w:rsidRDefault="00CE34E8" w:rsidP="00CE34E8">
      <w:pPr>
        <w:jc w:val="center"/>
        <w:rPr>
          <w:rFonts w:eastAsia="Times New Roman" w:cs="Times New Roman"/>
          <w:lang w:val="es-ES" w:eastAsia="es-ES"/>
        </w:rPr>
      </w:pPr>
      <w:r w:rsidRPr="003865C9">
        <w:rPr>
          <w:rFonts w:eastAsia="Times New Roman" w:cs="Times New Roman"/>
          <w:noProof/>
          <w:lang w:eastAsia="es-CO"/>
        </w:rPr>
        <w:drawing>
          <wp:inline distT="0" distB="0" distL="0" distR="0" wp14:anchorId="6586D3B6" wp14:editId="0074E887">
            <wp:extent cx="2921000" cy="17558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341" cy="1762654"/>
                    </a:xfrm>
                    <a:prstGeom prst="rect">
                      <a:avLst/>
                    </a:prstGeom>
                    <a:noFill/>
                  </pic:spPr>
                </pic:pic>
              </a:graphicData>
            </a:graphic>
          </wp:inline>
        </w:drawing>
      </w:r>
    </w:p>
    <w:p w14:paraId="3AE83E4E"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4D47A629" w14:textId="77777777" w:rsidR="00CE34E8" w:rsidRPr="003865C9" w:rsidRDefault="00CE34E8" w:rsidP="00CE34E8">
      <w:pPr>
        <w:jc w:val="center"/>
        <w:rPr>
          <w:rFonts w:eastAsia="Times New Roman" w:cs="Times New Roman"/>
          <w:i/>
          <w:iCs/>
          <w:lang w:val="es-ES" w:eastAsia="es-ES"/>
        </w:rPr>
      </w:pPr>
    </w:p>
    <w:p w14:paraId="6C6C6850"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lastRenderedPageBreak/>
        <w:t>En la ilustración 15 se puede apreciar el comportamiento de los fluidos que hacen parte del intercambio de calor dentro del tanque estabilizador, es posible identificar que el sistema de calentamiento de aire tiene una tendencia creciente, haciendo referencia a que mantiene un estado transitorio. El calor que se genera por la combustión continúa generando calor de forma constante con el ingreso de los pellets y el calor que se extrae con el ingreso del aire, no supera la generación de calor, por tal motivo esta tendencia puede continuar a lo largo del tiempo hasta alcanzar el estado estable, posiblemente hasta el punto calculado en la simulación computacional en dónde la temperatura de salida del aire es de 100 °C. La diferencia térmica entre los fluidos corresponde a la capacidad del intercambiador de calor, correspondiente a 4°C en promedio.</w:t>
      </w:r>
    </w:p>
    <w:p w14:paraId="7AAB065B" w14:textId="77777777" w:rsidR="006173B6" w:rsidRPr="003865C9" w:rsidRDefault="006173B6" w:rsidP="00CE34E8">
      <w:pPr>
        <w:rPr>
          <w:rFonts w:eastAsia="Times New Roman" w:cs="Times New Roman"/>
          <w:lang w:val="es-ES" w:eastAsia="es-ES"/>
        </w:rPr>
      </w:pPr>
    </w:p>
    <w:p w14:paraId="15EABCCD"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Al calcular la energía absorbida por el aire en el intercambiador de calor se obtienen 10 W.</w:t>
      </w:r>
    </w:p>
    <w:p w14:paraId="4AB033FC" w14:textId="77777777" w:rsidR="00CD03ED" w:rsidRPr="003865C9" w:rsidRDefault="00CD03ED" w:rsidP="00CE34E8">
      <w:pPr>
        <w:rPr>
          <w:rFonts w:eastAsia="Times New Roman" w:cs="Times New Roman"/>
          <w:lang w:val="es-ES" w:eastAsia="es-ES"/>
        </w:rPr>
      </w:pPr>
    </w:p>
    <w:p w14:paraId="6959C1FD" w14:textId="77777777" w:rsidR="00CE34E8" w:rsidRPr="003865C9" w:rsidRDefault="00CE34E8" w:rsidP="00CE34E8">
      <w:pPr>
        <w:jc w:val="center"/>
        <w:rPr>
          <w:rFonts w:eastAsia="Times New Roman" w:cs="Times New Roman"/>
          <w:iCs/>
          <w:lang w:val="es-ES" w:eastAsia="es-ES"/>
        </w:rPr>
      </w:pPr>
      <w:bookmarkStart w:id="29" w:name="_Toc101276595"/>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16</w:t>
      </w:r>
      <w:r w:rsidRPr="003865C9">
        <w:rPr>
          <w:rFonts w:eastAsia="Times New Roman" w:cs="Times New Roman"/>
          <w:lang w:eastAsia="es-ES"/>
        </w:rPr>
        <w:fldChar w:fldCharType="end"/>
      </w:r>
      <w:r w:rsidRPr="003865C9">
        <w:rPr>
          <w:rFonts w:eastAsia="Times New Roman" w:cs="Times New Roman"/>
          <w:iCs/>
          <w:lang w:val="es-ES" w:eastAsia="es-ES"/>
        </w:rPr>
        <w:t>. Temperatura de los gases de la combustión</w:t>
      </w:r>
      <w:bookmarkEnd w:id="29"/>
    </w:p>
    <w:p w14:paraId="3373E59F" w14:textId="77777777" w:rsidR="00CE34E8" w:rsidRPr="003865C9" w:rsidRDefault="00CE34E8" w:rsidP="00CE34E8">
      <w:pPr>
        <w:jc w:val="center"/>
        <w:rPr>
          <w:rFonts w:eastAsia="Times New Roman" w:cs="Times New Roman"/>
          <w:lang w:val="es-ES" w:eastAsia="es-ES"/>
        </w:rPr>
      </w:pPr>
      <w:r w:rsidRPr="003865C9">
        <w:rPr>
          <w:rFonts w:eastAsia="Times New Roman" w:cs="Times New Roman"/>
          <w:noProof/>
          <w:lang w:eastAsia="es-CO"/>
        </w:rPr>
        <w:drawing>
          <wp:inline distT="0" distB="0" distL="0" distR="0" wp14:anchorId="20093CBD" wp14:editId="7F191F4E">
            <wp:extent cx="2814762" cy="1614115"/>
            <wp:effectExtent l="0" t="0" r="5080" b="5715"/>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líneas&#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89" b="1313"/>
                    <a:stretch/>
                  </pic:blipFill>
                  <pic:spPr bwMode="auto">
                    <a:xfrm>
                      <a:off x="0" y="0"/>
                      <a:ext cx="2820885" cy="1617626"/>
                    </a:xfrm>
                    <a:prstGeom prst="rect">
                      <a:avLst/>
                    </a:prstGeom>
                    <a:noFill/>
                    <a:ln>
                      <a:noFill/>
                    </a:ln>
                    <a:extLst>
                      <a:ext uri="{53640926-AAD7-44D8-BBD7-CCE9431645EC}">
                        <a14:shadowObscured xmlns:a14="http://schemas.microsoft.com/office/drawing/2010/main"/>
                      </a:ext>
                    </a:extLst>
                  </pic:spPr>
                </pic:pic>
              </a:graphicData>
            </a:graphic>
          </wp:inline>
        </w:drawing>
      </w:r>
    </w:p>
    <w:p w14:paraId="0E1FD0F7"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5183DC88" w14:textId="77777777" w:rsidR="00CD03ED" w:rsidRPr="003865C9" w:rsidRDefault="00CD03ED" w:rsidP="00CE34E8">
      <w:pPr>
        <w:jc w:val="center"/>
        <w:rPr>
          <w:rFonts w:eastAsia="Times New Roman" w:cs="Times New Roman"/>
          <w:i/>
          <w:iCs/>
          <w:lang w:val="es-ES" w:eastAsia="es-ES"/>
        </w:rPr>
      </w:pPr>
    </w:p>
    <w:p w14:paraId="37DEA685"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t>En la ilustración 16 se describe el comportamiento de la temperatura en los gases de combustión que se miden en la chimenea ubicada en la parte superior del sistema. Estos valores describen las pérdidas principales de energía del sistema diseñado y muestran como con el paso del tiempo aumenta progresivamente.</w:t>
      </w:r>
    </w:p>
    <w:p w14:paraId="4D88B861" w14:textId="77777777" w:rsidR="006173B6" w:rsidRPr="003865C9" w:rsidRDefault="006173B6" w:rsidP="00CE34E8">
      <w:pPr>
        <w:rPr>
          <w:rFonts w:eastAsia="Times New Roman" w:cs="Times New Roman"/>
          <w:lang w:val="es-ES" w:eastAsia="es-ES"/>
        </w:rPr>
      </w:pPr>
    </w:p>
    <w:p w14:paraId="73A6FC87" w14:textId="77777777" w:rsidR="00CE34E8" w:rsidRPr="003865C9" w:rsidRDefault="00CE34E8" w:rsidP="00CE34E8">
      <w:pPr>
        <w:rPr>
          <w:rFonts w:eastAsia="Times New Roman" w:cs="Times New Roman"/>
          <w:lang w:val="es-ES" w:eastAsia="es-ES"/>
        </w:rPr>
      </w:pPr>
      <w:r w:rsidRPr="003865C9">
        <w:rPr>
          <w:rFonts w:eastAsia="Times New Roman" w:cs="Times New Roman"/>
          <w:lang w:val="es-ES" w:eastAsia="es-ES"/>
        </w:rPr>
        <w:t>La energía que se libera en los gases de la combustión por la chimenea es de 638 W aproximadamente.</w:t>
      </w:r>
    </w:p>
    <w:p w14:paraId="64C71792" w14:textId="77777777" w:rsidR="00CD03ED" w:rsidRPr="003865C9" w:rsidRDefault="00CD03ED" w:rsidP="00CE34E8">
      <w:pPr>
        <w:rPr>
          <w:rFonts w:eastAsia="Times New Roman" w:cs="Times New Roman"/>
          <w:lang w:val="es-ES" w:eastAsia="es-ES"/>
        </w:rPr>
      </w:pPr>
    </w:p>
    <w:p w14:paraId="6832C8D1" w14:textId="77777777" w:rsidR="00CE34E8" w:rsidRPr="003865C9" w:rsidRDefault="00CE34E8" w:rsidP="00CE34E8">
      <w:pPr>
        <w:jc w:val="center"/>
        <w:rPr>
          <w:rFonts w:eastAsia="Times New Roman" w:cs="Times New Roman"/>
          <w:iCs/>
          <w:lang w:val="es-ES" w:eastAsia="es-ES"/>
        </w:rPr>
      </w:pPr>
      <w:bookmarkStart w:id="30" w:name="_Toc101276596"/>
      <w:r w:rsidRPr="003865C9">
        <w:rPr>
          <w:rFonts w:eastAsia="Times New Roman" w:cs="Times New Roman"/>
          <w:iCs/>
          <w:lang w:val="es-ES" w:eastAsia="es-ES"/>
        </w:rPr>
        <w:t xml:space="preserve">Ilustración </w:t>
      </w:r>
      <w:r w:rsidRPr="003865C9">
        <w:rPr>
          <w:rFonts w:eastAsia="Times New Roman" w:cs="Times New Roman"/>
          <w:iCs/>
          <w:lang w:val="es-ES" w:eastAsia="es-ES"/>
        </w:rPr>
        <w:fldChar w:fldCharType="begin"/>
      </w:r>
      <w:r w:rsidRPr="003865C9">
        <w:rPr>
          <w:rFonts w:eastAsia="Times New Roman" w:cs="Times New Roman"/>
          <w:iCs/>
          <w:lang w:val="es-ES" w:eastAsia="es-ES"/>
        </w:rPr>
        <w:instrText xml:space="preserve"> SEQ Ilustración \* ARABIC </w:instrText>
      </w:r>
      <w:r w:rsidRPr="003865C9">
        <w:rPr>
          <w:rFonts w:eastAsia="Times New Roman" w:cs="Times New Roman"/>
          <w:iCs/>
          <w:lang w:val="es-ES" w:eastAsia="es-ES"/>
        </w:rPr>
        <w:fldChar w:fldCharType="separate"/>
      </w:r>
      <w:r w:rsidRPr="003865C9">
        <w:rPr>
          <w:rFonts w:eastAsia="Times New Roman" w:cs="Times New Roman"/>
          <w:iCs/>
          <w:noProof/>
          <w:lang w:val="es-ES" w:eastAsia="es-ES"/>
        </w:rPr>
        <w:t>17</w:t>
      </w:r>
      <w:r w:rsidRPr="003865C9">
        <w:rPr>
          <w:rFonts w:eastAsia="Times New Roman" w:cs="Times New Roman"/>
          <w:lang w:eastAsia="es-ES"/>
        </w:rPr>
        <w:fldChar w:fldCharType="end"/>
      </w:r>
      <w:r w:rsidRPr="003865C9">
        <w:rPr>
          <w:rFonts w:eastAsia="Times New Roman" w:cs="Times New Roman"/>
          <w:iCs/>
          <w:lang w:val="es-ES" w:eastAsia="es-ES"/>
        </w:rPr>
        <w:t>. Temperatura en la canasta</w:t>
      </w:r>
      <w:bookmarkEnd w:id="30"/>
    </w:p>
    <w:p w14:paraId="7F4EEAD7" w14:textId="77777777" w:rsidR="00CE34E8" w:rsidRPr="003865C9" w:rsidRDefault="00CE34E8" w:rsidP="00CE34E8">
      <w:pPr>
        <w:rPr>
          <w:rFonts w:eastAsia="Times New Roman" w:cs="Times New Roman"/>
          <w:iCs/>
          <w:lang w:val="es-ES" w:eastAsia="es-ES"/>
        </w:rPr>
      </w:pPr>
      <w:r w:rsidRPr="003865C9">
        <w:rPr>
          <w:rFonts w:eastAsia="Times New Roman" w:cs="Times New Roman"/>
          <w:iCs/>
          <w:lang w:val="es-ES" w:eastAsia="es-ES"/>
        </w:rPr>
        <w:t xml:space="preserve"> </w:t>
      </w:r>
      <w:r w:rsidRPr="003865C9">
        <w:rPr>
          <w:rFonts w:eastAsia="Times New Roman" w:cs="Times New Roman"/>
          <w:iCs/>
          <w:noProof/>
          <w:lang w:eastAsia="es-CO"/>
        </w:rPr>
        <w:drawing>
          <wp:inline distT="0" distB="0" distL="0" distR="0" wp14:anchorId="515FECBA" wp14:editId="1E675049">
            <wp:extent cx="2679589" cy="1494845"/>
            <wp:effectExtent l="0" t="0" r="6985" b="0"/>
            <wp:docPr id="22" name="Imagen 2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líneas&#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61" b="4233"/>
                    <a:stretch/>
                  </pic:blipFill>
                  <pic:spPr bwMode="auto">
                    <a:xfrm>
                      <a:off x="0" y="0"/>
                      <a:ext cx="2692313" cy="1501943"/>
                    </a:xfrm>
                    <a:prstGeom prst="rect">
                      <a:avLst/>
                    </a:prstGeom>
                    <a:noFill/>
                    <a:ln>
                      <a:noFill/>
                    </a:ln>
                    <a:extLst>
                      <a:ext uri="{53640926-AAD7-44D8-BBD7-CCE9431645EC}">
                        <a14:shadowObscured xmlns:a14="http://schemas.microsoft.com/office/drawing/2010/main"/>
                      </a:ext>
                    </a:extLst>
                  </pic:spPr>
                </pic:pic>
              </a:graphicData>
            </a:graphic>
          </wp:inline>
        </w:drawing>
      </w:r>
    </w:p>
    <w:p w14:paraId="75A0499A" w14:textId="77777777" w:rsidR="006173B6" w:rsidRPr="003865C9" w:rsidRDefault="006173B6" w:rsidP="006173B6">
      <w:pPr>
        <w:jc w:val="center"/>
        <w:rPr>
          <w:rFonts w:eastAsia="Times New Roman" w:cs="Times New Roman"/>
          <w:iCs/>
          <w:lang w:val="es-ES" w:eastAsia="es-ES"/>
        </w:rPr>
      </w:pPr>
      <w:r w:rsidRPr="003865C9">
        <w:rPr>
          <w:rFonts w:eastAsia="Times New Roman" w:cs="Times New Roman"/>
          <w:iCs/>
          <w:lang w:val="es-ES" w:eastAsia="es-ES"/>
        </w:rPr>
        <w:t xml:space="preserve">Fuente. </w:t>
      </w:r>
      <w:r>
        <w:rPr>
          <w:rFonts w:eastAsia="Times New Roman" w:cs="Times New Roman"/>
          <w:iCs/>
          <w:lang w:val="es-ES" w:eastAsia="es-ES"/>
        </w:rPr>
        <w:t>Elaboración propia</w:t>
      </w:r>
    </w:p>
    <w:p w14:paraId="7D03EC16" w14:textId="77777777" w:rsidR="00CE34E8" w:rsidRDefault="00CE34E8" w:rsidP="00CE34E8">
      <w:pPr>
        <w:rPr>
          <w:rFonts w:eastAsia="Times New Roman" w:cs="Times New Roman"/>
          <w:lang w:val="es-ES" w:eastAsia="es-ES"/>
        </w:rPr>
      </w:pPr>
      <w:r w:rsidRPr="003865C9">
        <w:rPr>
          <w:rFonts w:eastAsia="Times New Roman" w:cs="Times New Roman"/>
          <w:lang w:val="es-ES" w:eastAsia="es-ES"/>
        </w:rPr>
        <w:lastRenderedPageBreak/>
        <w:t>En la ilustración 17 se muestra el comportamiento de la temperatura en la zona de la combustión de pellets, sus variaciones se deben principalmente a la ubicación del sensor con respecto a los pellets que se encuentran generando el calor, por tanto, estos valores no representan el comportamiento real a lo largo de la prueba.</w:t>
      </w:r>
    </w:p>
    <w:p w14:paraId="7C7FB26B" w14:textId="77777777" w:rsidR="00D21191" w:rsidRPr="003865C9" w:rsidRDefault="00D21191" w:rsidP="00CE34E8">
      <w:pPr>
        <w:rPr>
          <w:rFonts w:eastAsia="Times New Roman" w:cs="Times New Roman"/>
          <w:lang w:val="es-ES" w:eastAsia="es-ES"/>
        </w:rPr>
      </w:pPr>
    </w:p>
    <w:p w14:paraId="1A84FCE2" w14:textId="5ED72A27" w:rsidR="00CE34E8" w:rsidRPr="003865C9" w:rsidRDefault="00CE34E8" w:rsidP="00CE34E8">
      <w:pPr>
        <w:rPr>
          <w:rFonts w:eastAsia="Times New Roman" w:cs="Times New Roman"/>
          <w:lang w:eastAsia="es-ES"/>
        </w:rPr>
      </w:pPr>
      <w:r w:rsidRPr="003865C9">
        <w:rPr>
          <w:rFonts w:eastAsia="Times New Roman" w:cs="Times New Roman"/>
          <w:lang w:val="es-ES" w:eastAsia="es-ES"/>
        </w:rPr>
        <w:t xml:space="preserve">Con base en </w:t>
      </w:r>
      <w:r w:rsidR="006173B6" w:rsidRPr="003865C9">
        <w:rPr>
          <w:rFonts w:eastAsia="Times New Roman" w:cs="Times New Roman"/>
          <w:lang w:val="es-ES" w:eastAsia="es-ES"/>
        </w:rPr>
        <w:t>los datos recolectados</w:t>
      </w:r>
      <w:r w:rsidRPr="003865C9">
        <w:rPr>
          <w:rFonts w:eastAsia="Times New Roman" w:cs="Times New Roman"/>
          <w:lang w:val="es-ES" w:eastAsia="es-ES"/>
        </w:rPr>
        <w:t xml:space="preserve"> y el poder calorífico obtenido por equipos especializados referenciados en la bibliografía la eficiencia del sistema diseñado se encuentra </w:t>
      </w:r>
      <w:r w:rsidR="006173B6" w:rsidRPr="003865C9">
        <w:rPr>
          <w:rFonts w:eastAsia="Times New Roman" w:cs="Times New Roman"/>
          <w:lang w:val="es-ES" w:eastAsia="es-ES"/>
        </w:rPr>
        <w:t>cercana</w:t>
      </w:r>
      <w:r w:rsidRPr="003865C9">
        <w:rPr>
          <w:rFonts w:eastAsia="Times New Roman" w:cs="Times New Roman"/>
          <w:lang w:val="es-ES" w:eastAsia="es-ES"/>
        </w:rPr>
        <w:t xml:space="preserve"> al 14%.</w:t>
      </w:r>
    </w:p>
    <w:p w14:paraId="7AE62B5C" w14:textId="77777777" w:rsidR="00CE34E8" w:rsidRPr="003865C9" w:rsidRDefault="00CE34E8" w:rsidP="00CE34E8">
      <w:pPr>
        <w:autoSpaceDE w:val="0"/>
        <w:autoSpaceDN w:val="0"/>
        <w:adjustRightInd w:val="0"/>
        <w:rPr>
          <w:rFonts w:eastAsia="Times New Roman" w:cs="Times New Roman"/>
          <w:lang w:eastAsia="es-ES"/>
        </w:rPr>
      </w:pPr>
    </w:p>
    <w:p w14:paraId="6B1A70A4" w14:textId="0DDC9C44" w:rsidR="00CE34E8" w:rsidRPr="003865C9" w:rsidRDefault="00CE34E8" w:rsidP="00CE34E8">
      <w:pPr>
        <w:pStyle w:val="Ttulo1"/>
      </w:pPr>
      <w:bookmarkStart w:id="31" w:name="_Toc367827941"/>
      <w:bookmarkStart w:id="32" w:name="_Toc424313558"/>
      <w:bookmarkStart w:id="33" w:name="_Toc424638007"/>
      <w:bookmarkStart w:id="34" w:name="_Toc464655582"/>
      <w:r w:rsidRPr="003865C9">
        <w:t>Conclusiones</w:t>
      </w:r>
      <w:bookmarkEnd w:id="31"/>
      <w:bookmarkEnd w:id="32"/>
      <w:bookmarkEnd w:id="33"/>
      <w:bookmarkEnd w:id="34"/>
    </w:p>
    <w:p w14:paraId="706025F5" w14:textId="77777777" w:rsidR="00CE34E8" w:rsidRPr="003865C9" w:rsidRDefault="00CE34E8" w:rsidP="00CE34E8">
      <w:pPr>
        <w:autoSpaceDE w:val="0"/>
        <w:autoSpaceDN w:val="0"/>
        <w:adjustRightInd w:val="0"/>
        <w:rPr>
          <w:rFonts w:eastAsia="Times New Roman" w:cs="Times New Roman"/>
          <w:lang w:eastAsia="es-ES"/>
        </w:rPr>
      </w:pPr>
    </w:p>
    <w:p w14:paraId="339D14E0" w14:textId="77777777" w:rsidR="00CE34E8" w:rsidRDefault="00CE34E8" w:rsidP="00CE34E8">
      <w:pPr>
        <w:autoSpaceDE w:val="0"/>
        <w:autoSpaceDN w:val="0"/>
        <w:adjustRightInd w:val="0"/>
        <w:rPr>
          <w:rFonts w:eastAsia="Times New Roman" w:cs="Times New Roman"/>
          <w:lang w:eastAsia="es-ES"/>
        </w:rPr>
      </w:pPr>
      <w:r w:rsidRPr="003865C9">
        <w:rPr>
          <w:rFonts w:eastAsia="Times New Roman" w:cs="Times New Roman"/>
          <w:lang w:eastAsia="es-ES"/>
        </w:rPr>
        <w:t>Con la ejecución de este proyecto se logra realizar un análisis funcional del quemador de pellets diseñado y construido para el calentamiento del aire. El sistema permite la estabilización de la temperatura mediante el uso de un fluido (aceite), que almacena el calor y lo transfiere al aire que circula por el serpentín sumergido en el tanque.</w:t>
      </w:r>
    </w:p>
    <w:p w14:paraId="7F78F14E" w14:textId="77777777" w:rsidR="006173B6" w:rsidRPr="003865C9" w:rsidRDefault="006173B6" w:rsidP="00CE34E8">
      <w:pPr>
        <w:autoSpaceDE w:val="0"/>
        <w:autoSpaceDN w:val="0"/>
        <w:adjustRightInd w:val="0"/>
        <w:rPr>
          <w:rFonts w:eastAsia="Times New Roman" w:cs="Times New Roman"/>
          <w:lang w:eastAsia="es-ES"/>
        </w:rPr>
      </w:pPr>
    </w:p>
    <w:p w14:paraId="2C36AC5E" w14:textId="77777777" w:rsidR="00CE34E8" w:rsidRDefault="00CE34E8" w:rsidP="00CE34E8">
      <w:pPr>
        <w:autoSpaceDE w:val="0"/>
        <w:autoSpaceDN w:val="0"/>
        <w:adjustRightInd w:val="0"/>
        <w:rPr>
          <w:rFonts w:eastAsia="Times New Roman" w:cs="Times New Roman"/>
          <w:lang w:eastAsia="es-ES"/>
        </w:rPr>
      </w:pPr>
      <w:r w:rsidRPr="003865C9">
        <w:rPr>
          <w:rFonts w:eastAsia="Times New Roman" w:cs="Times New Roman"/>
          <w:lang w:eastAsia="es-ES"/>
        </w:rPr>
        <w:t>Las funcionalidades establecidas para la carga controlada mediante un tornillo sin fin, extracción de ceniza y calentamiento de aire con estabilización cumplieron bajo condiciones de ineficiencia.</w:t>
      </w:r>
    </w:p>
    <w:p w14:paraId="5DCE470D" w14:textId="77777777" w:rsidR="006173B6" w:rsidRPr="003865C9" w:rsidRDefault="006173B6" w:rsidP="00CE34E8">
      <w:pPr>
        <w:autoSpaceDE w:val="0"/>
        <w:autoSpaceDN w:val="0"/>
        <w:adjustRightInd w:val="0"/>
        <w:rPr>
          <w:rFonts w:eastAsia="Times New Roman" w:cs="Times New Roman"/>
          <w:lang w:eastAsia="es-ES"/>
        </w:rPr>
      </w:pPr>
    </w:p>
    <w:p w14:paraId="487F6791" w14:textId="77777777" w:rsidR="00CE34E8" w:rsidRPr="003865C9" w:rsidRDefault="00CE34E8" w:rsidP="00CE34E8">
      <w:pPr>
        <w:autoSpaceDE w:val="0"/>
        <w:autoSpaceDN w:val="0"/>
        <w:adjustRightInd w:val="0"/>
        <w:rPr>
          <w:rFonts w:eastAsia="Times New Roman" w:cs="Times New Roman"/>
          <w:lang w:eastAsia="es-ES"/>
        </w:rPr>
      </w:pPr>
      <w:r w:rsidRPr="003865C9">
        <w:rPr>
          <w:rFonts w:eastAsia="Times New Roman" w:cs="Times New Roman"/>
          <w:lang w:eastAsia="es-ES"/>
        </w:rPr>
        <w:t>La comparativa entre el sistema simulado y las condiciones de operación reales, muestran una diferencia marcada por los caudales de trabajo tanto para el aire de la combustión como para el aire de calentamiento. La variación del aire tiene mayor importancia para la eficiencia del sistema porque si se alimenta la combustión con un flujo másico superior al requerido extrae el calor requerido para el tanque intercambiador.</w:t>
      </w:r>
    </w:p>
    <w:p w14:paraId="5AB50236" w14:textId="77777777" w:rsidR="00CE34E8" w:rsidRPr="003865C9" w:rsidRDefault="00CE34E8" w:rsidP="00CE34E8">
      <w:pPr>
        <w:autoSpaceDE w:val="0"/>
        <w:autoSpaceDN w:val="0"/>
        <w:adjustRightInd w:val="0"/>
        <w:rPr>
          <w:rFonts w:eastAsia="Times New Roman" w:cs="Times New Roman"/>
          <w:lang w:eastAsia="es-ES"/>
        </w:rPr>
      </w:pPr>
    </w:p>
    <w:p w14:paraId="6D22B7F8" w14:textId="7367DF4A" w:rsidR="00CE34E8" w:rsidRPr="003865C9" w:rsidRDefault="00CE34E8" w:rsidP="00CE34E8">
      <w:pPr>
        <w:pStyle w:val="Ttulo1"/>
        <w:rPr>
          <w:rFonts w:eastAsia="Times New Roman"/>
          <w:lang w:eastAsia="es-ES"/>
        </w:rPr>
      </w:pPr>
      <w:bookmarkStart w:id="35" w:name="_Toc367827942"/>
      <w:bookmarkStart w:id="36" w:name="_Toc424313559"/>
      <w:bookmarkStart w:id="37" w:name="_Toc424638008"/>
      <w:bookmarkStart w:id="38" w:name="_Toc464655583"/>
      <w:r w:rsidRPr="003865C9">
        <w:t>Recomendaciones</w:t>
      </w:r>
      <w:bookmarkEnd w:id="35"/>
      <w:bookmarkEnd w:id="36"/>
      <w:bookmarkEnd w:id="37"/>
      <w:bookmarkEnd w:id="38"/>
    </w:p>
    <w:p w14:paraId="67F88394" w14:textId="77777777" w:rsidR="00CE34E8" w:rsidRPr="003865C9" w:rsidRDefault="00CE34E8" w:rsidP="00CE34E8">
      <w:pPr>
        <w:autoSpaceDE w:val="0"/>
        <w:autoSpaceDN w:val="0"/>
        <w:adjustRightInd w:val="0"/>
        <w:rPr>
          <w:rFonts w:eastAsia="Times New Roman" w:cs="Times New Roman"/>
          <w:lang w:eastAsia="es-ES"/>
        </w:rPr>
      </w:pPr>
    </w:p>
    <w:p w14:paraId="43DCA08E" w14:textId="77777777" w:rsidR="00CE34E8" w:rsidRPr="003865C9" w:rsidRDefault="00CE34E8" w:rsidP="00CE34E8">
      <w:pPr>
        <w:autoSpaceDE w:val="0"/>
        <w:autoSpaceDN w:val="0"/>
        <w:adjustRightInd w:val="0"/>
        <w:rPr>
          <w:rFonts w:eastAsia="Times New Roman" w:cs="Times New Roman"/>
          <w:lang w:val="es-ES" w:eastAsia="es-ES"/>
        </w:rPr>
      </w:pPr>
      <w:r w:rsidRPr="003865C9">
        <w:rPr>
          <w:rFonts w:eastAsia="Times New Roman" w:cs="Times New Roman"/>
          <w:lang w:val="es-ES" w:eastAsia="es-ES"/>
        </w:rPr>
        <w:t>Para el avance y desarrollo de esta tecnología se recomienda principalmente la incorporación de un sistema automático para el control de la combustión y la variación del aire de calentamiento. La aplicación de una electrónica especializada puede contribuir a un aumento de la eficiencia del sistema y la estandarización de los procesos productivos.</w:t>
      </w:r>
    </w:p>
    <w:p w14:paraId="02082E9F" w14:textId="77777777" w:rsidR="00CE34E8" w:rsidRPr="003865C9" w:rsidRDefault="00CE34E8" w:rsidP="00CE34E8">
      <w:pPr>
        <w:autoSpaceDE w:val="0"/>
        <w:autoSpaceDN w:val="0"/>
        <w:adjustRightInd w:val="0"/>
        <w:rPr>
          <w:rFonts w:eastAsia="Times New Roman" w:cs="Times New Roman"/>
          <w:lang w:val="es-ES" w:eastAsia="es-ES"/>
        </w:rPr>
      </w:pPr>
      <w:r w:rsidRPr="003865C9">
        <w:rPr>
          <w:rFonts w:eastAsia="Times New Roman" w:cs="Times New Roman"/>
          <w:lang w:val="es-ES" w:eastAsia="es-ES"/>
        </w:rPr>
        <w:t>Con respecto al control de caudal del aire de calentamiento se recomienda el uso de un sistema neumático controlado por una válvula proporcional que permita variar el flujo másico de forma más precisa, bajo requerimiento de temperaturas específicas. Por otro lado para el aire de la combustión se recomienda el uso de la señal PWM que permite variar la velocidad de los ventiladores y se debe establecer los requerimiento básicos de oxigeno que mantengan la operación sin exceder la extracción de calor que se libera al medio ambiente.</w:t>
      </w:r>
    </w:p>
    <w:p w14:paraId="19A6D79D" w14:textId="77777777" w:rsidR="00CE34E8" w:rsidRPr="003865C9" w:rsidRDefault="00CE34E8" w:rsidP="00FB73A9">
      <w:pPr>
        <w:rPr>
          <w:rFonts w:cs="Times New Roman"/>
          <w:lang w:val="es-ES"/>
        </w:rPr>
      </w:pPr>
    </w:p>
    <w:p w14:paraId="4C949FEB" w14:textId="537B7250" w:rsidR="009B4D5F" w:rsidRPr="003865C9" w:rsidRDefault="009B4D5F" w:rsidP="00960B8F">
      <w:pPr>
        <w:pStyle w:val="Ttulo2"/>
      </w:pPr>
      <w:r w:rsidRPr="003865C9">
        <w:lastRenderedPageBreak/>
        <w:t>Agradecimientos</w:t>
      </w:r>
    </w:p>
    <w:p w14:paraId="7CC7D255" w14:textId="77777777" w:rsidR="009B4D5F" w:rsidRPr="003865C9" w:rsidRDefault="009B4D5F" w:rsidP="002E2C39">
      <w:pPr>
        <w:rPr>
          <w:rFonts w:cs="Times New Roman"/>
          <w:noProof/>
        </w:rPr>
      </w:pPr>
    </w:p>
    <w:p w14:paraId="18DD1086" w14:textId="033922C6" w:rsidR="009B4D5F" w:rsidRPr="003865C9" w:rsidRDefault="00D21191" w:rsidP="002E2C39">
      <w:pPr>
        <w:rPr>
          <w:rFonts w:cs="Times New Roman"/>
          <w:noProof/>
          <w:lang w:eastAsia="es-CO"/>
        </w:rPr>
      </w:pPr>
      <w:r>
        <w:rPr>
          <w:rFonts w:cs="Times New Roman"/>
          <w:noProof/>
        </w:rPr>
        <w:t>Agradecimientos a la Dirección de Investigaciones y extensión de la</w:t>
      </w:r>
      <w:bookmarkStart w:id="39" w:name="_GoBack"/>
      <w:bookmarkEnd w:id="39"/>
      <w:r>
        <w:rPr>
          <w:rFonts w:cs="Times New Roman"/>
          <w:noProof/>
        </w:rPr>
        <w:t>s Unidades Tecnológicas de Santander</w:t>
      </w:r>
    </w:p>
    <w:p w14:paraId="18D993D8" w14:textId="77777777" w:rsidR="003134B7" w:rsidRDefault="003134B7" w:rsidP="002E2C39">
      <w:pPr>
        <w:rPr>
          <w:noProof/>
          <w:lang w:eastAsia="es-CO"/>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Default="009B4D5F" w:rsidP="007541F3">
      <w:pPr>
        <w:rPr>
          <w:noProof/>
        </w:rPr>
      </w:pPr>
    </w:p>
    <w:p w14:paraId="3E83639F" w14:textId="5187AB6E" w:rsidR="00806391" w:rsidRPr="00806391" w:rsidRDefault="00806391" w:rsidP="00806391">
      <w:pPr>
        <w:widowControl w:val="0"/>
        <w:autoSpaceDE w:val="0"/>
        <w:autoSpaceDN w:val="0"/>
        <w:adjustRightInd w:val="0"/>
        <w:ind w:left="640" w:hanging="640"/>
        <w:rPr>
          <w:rFonts w:cs="Times New Roman"/>
          <w:noProof/>
          <w:szCs w:val="24"/>
        </w:rPr>
      </w:pPr>
      <w:r>
        <w:rPr>
          <w:noProof/>
        </w:rPr>
        <w:fldChar w:fldCharType="begin" w:fldLock="1"/>
      </w:r>
      <w:r>
        <w:rPr>
          <w:noProof/>
        </w:rPr>
        <w:instrText xml:space="preserve">ADDIN Mendeley Bibliography CSL_BIBLIOGRAPHY </w:instrText>
      </w:r>
      <w:r>
        <w:rPr>
          <w:noProof/>
        </w:rPr>
        <w:fldChar w:fldCharType="separate"/>
      </w:r>
      <w:r w:rsidRPr="00806391">
        <w:rPr>
          <w:rFonts w:cs="Times New Roman"/>
          <w:noProof/>
          <w:szCs w:val="24"/>
        </w:rPr>
        <w:t>[1]</w:t>
      </w:r>
      <w:r w:rsidRPr="00806391">
        <w:rPr>
          <w:rFonts w:cs="Times New Roman"/>
          <w:noProof/>
          <w:szCs w:val="24"/>
        </w:rPr>
        <w:tab/>
        <w:t xml:space="preserve">S. Ozgen, S. Cernuschi, and S. Caserini, “An overview of nitrogen oxides emissions from biomass combustion for domestic heat production,” </w:t>
      </w:r>
      <w:r w:rsidRPr="00806391">
        <w:rPr>
          <w:rFonts w:cs="Times New Roman"/>
          <w:i/>
          <w:iCs/>
          <w:noProof/>
          <w:szCs w:val="24"/>
        </w:rPr>
        <w:t>Renew. Sustain. Energy Rev.</w:t>
      </w:r>
      <w:r w:rsidRPr="00806391">
        <w:rPr>
          <w:rFonts w:cs="Times New Roman"/>
          <w:noProof/>
          <w:szCs w:val="24"/>
        </w:rPr>
        <w:t>, vol. 135, p. 110113, 2021.</w:t>
      </w:r>
    </w:p>
    <w:p w14:paraId="5191A1C1"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[2]</w:t>
      </w:r>
      <w:r w:rsidRPr="00806391">
        <w:rPr>
          <w:rFonts w:cs="Times New Roman"/>
          <w:noProof/>
          <w:szCs w:val="24"/>
        </w:rPr>
        <w:tab/>
        <w:t xml:space="preserve">M. T. Lim, A. Phan, D. Roddy, and A. Harvey, “Technologies for measurement and mitigation of particulate emissions from domestic combustion of biomass: A review,” </w:t>
      </w:r>
      <w:r w:rsidRPr="00806391">
        <w:rPr>
          <w:rFonts w:cs="Times New Roman"/>
          <w:i/>
          <w:iCs/>
          <w:noProof/>
          <w:szCs w:val="24"/>
        </w:rPr>
        <w:t>Renew. Sustain. Energy Rev.</w:t>
      </w:r>
      <w:r w:rsidRPr="00806391">
        <w:rPr>
          <w:rFonts w:cs="Times New Roman"/>
          <w:noProof/>
          <w:szCs w:val="24"/>
        </w:rPr>
        <w:t>, vol. 49, pp. 574–584, 2015.</w:t>
      </w:r>
    </w:p>
    <w:p w14:paraId="5AF73E88"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[3]</w:t>
      </w:r>
      <w:r w:rsidRPr="00806391">
        <w:rPr>
          <w:rFonts w:cs="Times New Roman"/>
          <w:noProof/>
          <w:szCs w:val="24"/>
        </w:rPr>
        <w:tab/>
        <w:t xml:space="preserve">J. Carroll and J. Finnan, “Emissions and efficiencies from the combustion of agricultural feedstock pellets using a small scale tilting grate boiler,” </w:t>
      </w:r>
      <w:r w:rsidRPr="00806391">
        <w:rPr>
          <w:rFonts w:cs="Times New Roman"/>
          <w:i/>
          <w:iCs/>
          <w:noProof/>
          <w:szCs w:val="24"/>
        </w:rPr>
        <w:t>Biosyst. Eng.</w:t>
      </w:r>
      <w:r w:rsidRPr="00806391">
        <w:rPr>
          <w:rFonts w:cs="Times New Roman"/>
          <w:noProof/>
          <w:szCs w:val="24"/>
        </w:rPr>
        <w:t>, vol. 115, no. 1, pp. 50–55, 2013.</w:t>
      </w:r>
    </w:p>
    <w:p w14:paraId="5A26C3F1"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[4]</w:t>
      </w:r>
      <w:r w:rsidRPr="00806391">
        <w:rPr>
          <w:rFonts w:cs="Times New Roman"/>
          <w:noProof/>
          <w:szCs w:val="24"/>
        </w:rPr>
        <w:tab/>
        <w:t xml:space="preserve">H. Örberg, S. Jansson, G. Kalén, M. Thyrel, and S. Xiong, “Combustion and Slagging Behavior of Biomass Pellets Using a Burner Cup Developed for Ash-Rich Fuels,” </w:t>
      </w:r>
      <w:r w:rsidRPr="00806391">
        <w:rPr>
          <w:rFonts w:cs="Times New Roman"/>
          <w:i/>
          <w:iCs/>
          <w:noProof/>
          <w:szCs w:val="24"/>
        </w:rPr>
        <w:t>Energy &amp; Fuels</w:t>
      </w:r>
      <w:r w:rsidRPr="00806391">
        <w:rPr>
          <w:rFonts w:cs="Times New Roman"/>
          <w:noProof/>
          <w:szCs w:val="24"/>
        </w:rPr>
        <w:t>, vol. 28, no. 2, pp. 1103–1110, Feb. 2014.</w:t>
      </w:r>
    </w:p>
    <w:p w14:paraId="1C37DAE8"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[5]</w:t>
      </w:r>
      <w:r w:rsidRPr="00806391">
        <w:rPr>
          <w:rFonts w:cs="Times New Roman"/>
          <w:noProof/>
          <w:szCs w:val="24"/>
        </w:rPr>
        <w:tab/>
        <w:t xml:space="preserve">D. Petrocelli and A. M. Lezzi, “Modeling operation mode of pellet boilers for residential heating,” </w:t>
      </w:r>
      <w:r w:rsidRPr="00806391">
        <w:rPr>
          <w:rFonts w:cs="Times New Roman"/>
          <w:i/>
          <w:iCs/>
          <w:noProof/>
          <w:szCs w:val="24"/>
        </w:rPr>
        <w:t>J. Phys. Conf. Ser.</w:t>
      </w:r>
      <w:r w:rsidRPr="00806391">
        <w:rPr>
          <w:rFonts w:cs="Times New Roman"/>
          <w:noProof/>
          <w:szCs w:val="24"/>
        </w:rPr>
        <w:t>, vol. 547, no. 1, 2014.</w:t>
      </w:r>
    </w:p>
    <w:p w14:paraId="25D5AE68"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[6]</w:t>
      </w:r>
      <w:r w:rsidRPr="00806391">
        <w:rPr>
          <w:rFonts w:cs="Times New Roman"/>
          <w:noProof/>
          <w:szCs w:val="24"/>
        </w:rPr>
        <w:tab/>
        <w:t xml:space="preserve">S. B. Petrović Bećirović, N. G. Manić, and D. D. Stojiljković, “Impact of fuel quality and burner capacity on the performance of wood pellet stove,” </w:t>
      </w:r>
      <w:r w:rsidRPr="00806391">
        <w:rPr>
          <w:rFonts w:cs="Times New Roman"/>
          <w:i/>
          <w:iCs/>
          <w:noProof/>
          <w:szCs w:val="24"/>
        </w:rPr>
        <w:t>Therm. Sci.</w:t>
      </w:r>
      <w:r w:rsidRPr="00806391">
        <w:rPr>
          <w:rFonts w:cs="Times New Roman"/>
          <w:noProof/>
          <w:szCs w:val="24"/>
        </w:rPr>
        <w:t>, vol. 19, no. 5, pp. 1855–1866, 2015.</w:t>
      </w:r>
    </w:p>
    <w:p w14:paraId="11908122"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[7]</w:t>
      </w:r>
      <w:r w:rsidRPr="00806391">
        <w:rPr>
          <w:rFonts w:cs="Times New Roman"/>
          <w:noProof/>
          <w:szCs w:val="24"/>
        </w:rPr>
        <w:tab/>
        <w:t xml:space="preserve">B. Monteleone </w:t>
      </w:r>
      <w:r w:rsidRPr="00806391">
        <w:rPr>
          <w:rFonts w:cs="Times New Roman"/>
          <w:i/>
          <w:iCs/>
          <w:noProof/>
          <w:szCs w:val="24"/>
        </w:rPr>
        <w:t>et al.</w:t>
      </w:r>
      <w:r w:rsidRPr="00806391">
        <w:rPr>
          <w:rFonts w:cs="Times New Roman"/>
          <w:noProof/>
          <w:szCs w:val="24"/>
        </w:rPr>
        <w:t xml:space="preserve">, “Life cycle analysis of small scale pellet boilers characterized by high efficiency and low emissions,” </w:t>
      </w:r>
      <w:r w:rsidRPr="00806391">
        <w:rPr>
          <w:rFonts w:cs="Times New Roman"/>
          <w:i/>
          <w:iCs/>
          <w:noProof/>
          <w:szCs w:val="24"/>
        </w:rPr>
        <w:t>Appl. Energy</w:t>
      </w:r>
      <w:r w:rsidRPr="00806391">
        <w:rPr>
          <w:rFonts w:cs="Times New Roman"/>
          <w:noProof/>
          <w:szCs w:val="24"/>
        </w:rPr>
        <w:t>, vol. 155, no. 2015, pp. 160–170, 2015.</w:t>
      </w:r>
    </w:p>
    <w:p w14:paraId="6FB6B56A"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[8]</w:t>
      </w:r>
      <w:r w:rsidRPr="00806391">
        <w:rPr>
          <w:rFonts w:cs="Times New Roman"/>
          <w:noProof/>
          <w:szCs w:val="24"/>
        </w:rPr>
        <w:tab/>
        <w:t xml:space="preserve">M. Buchmayr, J. Gruber, M. Hargassner, and C. Hochenauer, “Experimental investigation of the primary combustion zone during staged combustion of wood-chips in a commercial small-scale boiler,” </w:t>
      </w:r>
      <w:r w:rsidRPr="00806391">
        <w:rPr>
          <w:rFonts w:cs="Times New Roman"/>
          <w:i/>
          <w:iCs/>
          <w:noProof/>
          <w:szCs w:val="24"/>
        </w:rPr>
        <w:t>Biomass and Bioenergy</w:t>
      </w:r>
      <w:r w:rsidRPr="00806391">
        <w:rPr>
          <w:rFonts w:cs="Times New Roman"/>
          <w:noProof/>
          <w:szCs w:val="24"/>
        </w:rPr>
        <w:t>, vol. 81, pp. 356–363, 2015.</w:t>
      </w:r>
    </w:p>
    <w:p w14:paraId="4F5A88F6"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[9]</w:t>
      </w:r>
      <w:r w:rsidRPr="00806391">
        <w:rPr>
          <w:rFonts w:cs="Times New Roman"/>
          <w:noProof/>
          <w:szCs w:val="24"/>
        </w:rPr>
        <w:tab/>
        <w:t xml:space="preserve">S. Fournel </w:t>
      </w:r>
      <w:r w:rsidRPr="00806391">
        <w:rPr>
          <w:rFonts w:cs="Times New Roman"/>
          <w:i/>
          <w:iCs/>
          <w:noProof/>
          <w:szCs w:val="24"/>
        </w:rPr>
        <w:t>et al.</w:t>
      </w:r>
      <w:r w:rsidRPr="00806391">
        <w:rPr>
          <w:rFonts w:cs="Times New Roman"/>
          <w:noProof/>
          <w:szCs w:val="24"/>
        </w:rPr>
        <w:t xml:space="preserve">, “Influence of biomass properties on technical and environmental performance of a multi-fuel boiler during on-farm combustion of energy crops,” </w:t>
      </w:r>
      <w:r w:rsidRPr="00806391">
        <w:rPr>
          <w:rFonts w:cs="Times New Roman"/>
          <w:i/>
          <w:iCs/>
          <w:noProof/>
          <w:szCs w:val="24"/>
        </w:rPr>
        <w:t>Appl. Energy</w:t>
      </w:r>
      <w:r w:rsidRPr="00806391">
        <w:rPr>
          <w:rFonts w:cs="Times New Roman"/>
          <w:noProof/>
          <w:szCs w:val="24"/>
        </w:rPr>
        <w:t>, vol. 141, pp. 247–259, 2015.</w:t>
      </w:r>
    </w:p>
    <w:p w14:paraId="5F451CF5"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[10]</w:t>
      </w:r>
      <w:r w:rsidRPr="00806391">
        <w:rPr>
          <w:rFonts w:cs="Times New Roman"/>
          <w:noProof/>
          <w:szCs w:val="24"/>
        </w:rPr>
        <w:tab/>
        <w:t xml:space="preserve">H. Lamberg </w:t>
      </w:r>
      <w:r w:rsidRPr="00806391">
        <w:rPr>
          <w:rFonts w:cs="Times New Roman"/>
          <w:i/>
          <w:iCs/>
          <w:noProof/>
          <w:szCs w:val="24"/>
        </w:rPr>
        <w:t>et al.</w:t>
      </w:r>
      <w:r w:rsidRPr="00806391">
        <w:rPr>
          <w:rFonts w:cs="Times New Roman"/>
          <w:noProof/>
          <w:szCs w:val="24"/>
        </w:rPr>
        <w:t xml:space="preserve">, “Operation and Emissions of a Hybrid Stove Fueled by Pellets and Log Wood,” </w:t>
      </w:r>
      <w:r w:rsidRPr="00806391">
        <w:rPr>
          <w:rFonts w:cs="Times New Roman"/>
          <w:i/>
          <w:iCs/>
          <w:noProof/>
          <w:szCs w:val="24"/>
        </w:rPr>
        <w:t>Energy &amp; Fuels</w:t>
      </w:r>
      <w:r w:rsidRPr="00806391">
        <w:rPr>
          <w:rFonts w:cs="Times New Roman"/>
          <w:noProof/>
          <w:szCs w:val="24"/>
        </w:rPr>
        <w:t>, vol. 31, no. 2, pp. 1961–1968, Feb. 2017.</w:t>
      </w:r>
    </w:p>
    <w:p w14:paraId="7974C9CD"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[11]</w:t>
      </w:r>
      <w:r w:rsidRPr="00806391">
        <w:rPr>
          <w:rFonts w:cs="Times New Roman"/>
          <w:noProof/>
          <w:szCs w:val="24"/>
        </w:rPr>
        <w:tab/>
        <w:t xml:space="preserve">M. Chiesa </w:t>
      </w:r>
      <w:r w:rsidRPr="00806391">
        <w:rPr>
          <w:rFonts w:cs="Times New Roman"/>
          <w:i/>
          <w:iCs/>
          <w:noProof/>
          <w:szCs w:val="24"/>
        </w:rPr>
        <w:t>et al.</w:t>
      </w:r>
      <w:r w:rsidRPr="00806391">
        <w:rPr>
          <w:rFonts w:cs="Times New Roman"/>
          <w:noProof/>
          <w:szCs w:val="24"/>
        </w:rPr>
        <w:t xml:space="preserve">, “Integrated study through </w:t>
      </w:r>
      <w:r w:rsidRPr="00806391">
        <w:rPr>
          <w:rFonts w:cs="Times New Roman"/>
          <w:noProof/>
          <w:szCs w:val="24"/>
        </w:rPr>
        <w:lastRenderedPageBreak/>
        <w:t xml:space="preserve">LCA, ELCC analysis and air quality modelling related to the adoption of high efficiency small scale pellet boilers,” </w:t>
      </w:r>
      <w:r w:rsidRPr="00806391">
        <w:rPr>
          <w:rFonts w:cs="Times New Roman"/>
          <w:i/>
          <w:iCs/>
          <w:noProof/>
          <w:szCs w:val="24"/>
        </w:rPr>
        <w:t>Biomass and Bioenergy</w:t>
      </w:r>
      <w:r w:rsidRPr="00806391">
        <w:rPr>
          <w:rFonts w:cs="Times New Roman"/>
          <w:noProof/>
          <w:szCs w:val="24"/>
        </w:rPr>
        <w:t>, vol. 90, no. 2016, pp. 262–272, 2016.</w:t>
      </w:r>
    </w:p>
    <w:p w14:paraId="106EC5C5"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[12]</w:t>
      </w:r>
      <w:r w:rsidRPr="00806391">
        <w:rPr>
          <w:rFonts w:cs="Times New Roman"/>
          <w:noProof/>
          <w:szCs w:val="24"/>
        </w:rPr>
        <w:tab/>
        <w:t xml:space="preserve">A. Bianchini, M. Pellegrini, J. Rossi, and C. Saccani, “Theoretical model and preliminary design of an innovative wet scrubber for the separation of fine particulate matter produced by biomass combustion in small size boilers,” </w:t>
      </w:r>
      <w:r w:rsidRPr="00806391">
        <w:rPr>
          <w:rFonts w:cs="Times New Roman"/>
          <w:i/>
          <w:iCs/>
          <w:noProof/>
          <w:szCs w:val="24"/>
        </w:rPr>
        <w:t>Biomass and Bioenergy</w:t>
      </w:r>
      <w:r w:rsidRPr="00806391">
        <w:rPr>
          <w:rFonts w:cs="Times New Roman"/>
          <w:noProof/>
          <w:szCs w:val="24"/>
        </w:rPr>
        <w:t>, vol. 116, no. April, pp. 60–71, 2018.</w:t>
      </w:r>
    </w:p>
    <w:p w14:paraId="04A5D9A2"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[13]</w:t>
      </w:r>
      <w:r w:rsidRPr="00806391">
        <w:rPr>
          <w:rFonts w:cs="Times New Roman"/>
          <w:noProof/>
          <w:szCs w:val="24"/>
        </w:rPr>
        <w:tab/>
        <w:t xml:space="preserve">K. Wang, M. A. Satyro, R. Taylor, and P. K. Hopke, “Thermal energy storage tank sizing for biomass boiler heating systems using process dynamic simulation,” </w:t>
      </w:r>
      <w:r w:rsidRPr="00806391">
        <w:rPr>
          <w:rFonts w:cs="Times New Roman"/>
          <w:i/>
          <w:iCs/>
          <w:noProof/>
          <w:szCs w:val="24"/>
        </w:rPr>
        <w:t>Energy Build.</w:t>
      </w:r>
      <w:r w:rsidRPr="00806391">
        <w:rPr>
          <w:rFonts w:cs="Times New Roman"/>
          <w:noProof/>
          <w:szCs w:val="24"/>
        </w:rPr>
        <w:t>, vol. 175, pp. 199–207, 2018.</w:t>
      </w:r>
    </w:p>
    <w:p w14:paraId="699ABEC4"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[14]</w:t>
      </w:r>
      <w:r w:rsidRPr="00806391">
        <w:rPr>
          <w:rFonts w:cs="Times New Roman"/>
          <w:noProof/>
          <w:szCs w:val="24"/>
        </w:rPr>
        <w:tab/>
        <w:t xml:space="preserve">M. Buchmayr, J. Gruber, M. Hargassner, and C. Hochenauer, “Performance analysis of a steady flamelet model for the use in small-scale biomass combustion under extreme air-staged conditions,” </w:t>
      </w:r>
      <w:r w:rsidRPr="00806391">
        <w:rPr>
          <w:rFonts w:cs="Times New Roman"/>
          <w:i/>
          <w:iCs/>
          <w:noProof/>
          <w:szCs w:val="24"/>
        </w:rPr>
        <w:t>J. Energy Inst.</w:t>
      </w:r>
      <w:r w:rsidRPr="00806391">
        <w:rPr>
          <w:rFonts w:cs="Times New Roman"/>
          <w:noProof/>
          <w:szCs w:val="24"/>
        </w:rPr>
        <w:t>, vol. 91, no. 4, pp. 534–548, 2018.</w:t>
      </w:r>
    </w:p>
    <w:p w14:paraId="709557C4" w14:textId="77777777" w:rsidR="00806391" w:rsidRPr="00806391" w:rsidRDefault="00806391" w:rsidP="00806391">
      <w:pPr>
        <w:widowControl w:val="0"/>
        <w:autoSpaceDE w:val="0"/>
        <w:autoSpaceDN w:val="0"/>
        <w:adjustRightInd w:val="0"/>
        <w:ind w:left="640" w:hanging="640"/>
        <w:rPr>
          <w:rFonts w:cs="Times New Roman"/>
          <w:noProof/>
          <w:szCs w:val="24"/>
        </w:rPr>
      </w:pPr>
      <w:r w:rsidRPr="00806391">
        <w:rPr>
          <w:rFonts w:cs="Times New Roman"/>
          <w:noProof/>
          <w:szCs w:val="24"/>
        </w:rPr>
        <w:t>[15]</w:t>
      </w:r>
      <w:r w:rsidRPr="00806391">
        <w:rPr>
          <w:rFonts w:cs="Times New Roman"/>
          <w:noProof/>
          <w:szCs w:val="24"/>
        </w:rPr>
        <w:tab/>
        <w:t xml:space="preserve">B. Sungur and B. Topaloglu, “An experimental investigation of the effect of smoke tube configuration on the performance and emission characteristics of pellet-fuelled boilers,” </w:t>
      </w:r>
      <w:r w:rsidRPr="00806391">
        <w:rPr>
          <w:rFonts w:cs="Times New Roman"/>
          <w:i/>
          <w:iCs/>
          <w:noProof/>
          <w:szCs w:val="24"/>
        </w:rPr>
        <w:t>Renew. Energy</w:t>
      </w:r>
      <w:r w:rsidRPr="00806391">
        <w:rPr>
          <w:rFonts w:cs="Times New Roman"/>
          <w:noProof/>
          <w:szCs w:val="24"/>
        </w:rPr>
        <w:t>, vol. 143, pp. 121–129, 2019.</w:t>
      </w:r>
    </w:p>
    <w:p w14:paraId="2C54EFFE" w14:textId="77777777" w:rsidR="00806391" w:rsidRPr="00806391" w:rsidRDefault="00806391" w:rsidP="00806391">
      <w:pPr>
        <w:widowControl w:val="0"/>
        <w:autoSpaceDE w:val="0"/>
        <w:autoSpaceDN w:val="0"/>
        <w:adjustRightInd w:val="0"/>
        <w:ind w:left="640" w:hanging="640"/>
        <w:rPr>
          <w:rFonts w:cs="Times New Roman"/>
          <w:noProof/>
        </w:rPr>
      </w:pPr>
      <w:r w:rsidRPr="00806391">
        <w:rPr>
          <w:rFonts w:cs="Times New Roman"/>
          <w:noProof/>
          <w:szCs w:val="24"/>
        </w:rPr>
        <w:t>[16]</w:t>
      </w:r>
      <w:r w:rsidRPr="00806391">
        <w:rPr>
          <w:rFonts w:cs="Times New Roman"/>
          <w:noProof/>
          <w:szCs w:val="24"/>
        </w:rPr>
        <w:tab/>
        <w:t xml:space="preserve">M. Iranmanesh, H. Samimi Akhijahani, and M. S. Barghi Jahromi, “CFD modeling and evaluation the performance of a solar cabinet dryer equipped with evacuated tube solar collector and thermal storage system,” </w:t>
      </w:r>
      <w:r w:rsidRPr="00806391">
        <w:rPr>
          <w:rFonts w:cs="Times New Roman"/>
          <w:i/>
          <w:iCs/>
          <w:noProof/>
          <w:szCs w:val="24"/>
        </w:rPr>
        <w:t>Renew. Energy</w:t>
      </w:r>
      <w:r w:rsidRPr="00806391">
        <w:rPr>
          <w:rFonts w:cs="Times New Roman"/>
          <w:noProof/>
          <w:szCs w:val="24"/>
        </w:rPr>
        <w:t>, vol. 145, pp. 1192–1213, 2020.</w:t>
      </w:r>
    </w:p>
    <w:p w14:paraId="615A086F" w14:textId="253020FC" w:rsidR="00806391" w:rsidRDefault="00806391" w:rsidP="00806391">
      <w:pPr>
        <w:widowControl w:val="0"/>
        <w:autoSpaceDE w:val="0"/>
        <w:autoSpaceDN w:val="0"/>
        <w:adjustRightInd w:val="0"/>
        <w:ind w:left="480" w:hanging="480"/>
        <w:rPr>
          <w:noProof/>
        </w:rPr>
      </w:pPr>
      <w:r>
        <w:rPr>
          <w:noProof/>
        </w:rPr>
        <w:fldChar w:fldCharType="end"/>
      </w:r>
    </w:p>
    <w:sectPr w:rsidR="00806391"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C6567" w14:textId="77777777" w:rsidR="00560761" w:rsidRDefault="00560761" w:rsidP="00FB73A9">
      <w:r>
        <w:separator/>
      </w:r>
    </w:p>
  </w:endnote>
  <w:endnote w:type="continuationSeparator" w:id="0">
    <w:p w14:paraId="596B74DB" w14:textId="77777777" w:rsidR="00560761" w:rsidRDefault="00560761"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8803C" w14:textId="77777777" w:rsidR="00560761" w:rsidRDefault="00560761" w:rsidP="00FB73A9">
      <w:r>
        <w:separator/>
      </w:r>
    </w:p>
  </w:footnote>
  <w:footnote w:type="continuationSeparator" w:id="0">
    <w:p w14:paraId="7B4B9CBB" w14:textId="77777777" w:rsidR="00560761" w:rsidRDefault="00560761"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052530"/>
      <w:docPartObj>
        <w:docPartGallery w:val="Page Numbers (Top of Page)"/>
        <w:docPartUnique/>
      </w:docPartObj>
    </w:sdtPr>
    <w:sdtEndPr>
      <w:rPr>
        <w:rFonts w:ascii="Square721 Cn BT" w:hAnsi="Square721 Cn BT"/>
      </w:rPr>
    </w:sdtEndPr>
    <w:sdtContent>
      <w:p w14:paraId="689BFAFF" w14:textId="5E21F354" w:rsidR="00AB6E43" w:rsidRPr="00426533" w:rsidRDefault="00AB6E43" w:rsidP="00FB73A9">
        <w:pPr>
          <w:pStyle w:val="Encabezado"/>
          <w:rPr>
            <w:rFonts w:cs="Times New Roman"/>
          </w:rPr>
        </w:pPr>
        <w:r w:rsidRPr="00426533">
          <w:rPr>
            <w:rFonts w:cs="Times New Roman"/>
            <w:b/>
            <w:noProof/>
            <w:sz w:val="16"/>
            <w:szCs w:val="16"/>
            <w:lang w:eastAsia="es-CO"/>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AB6E43" w:rsidRPr="004906A8" w:rsidRDefault="00AB6E43"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AB6E43" w:rsidRPr="004906A8" w:rsidRDefault="00AB6E43"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21191" w:rsidRPr="00D21191">
          <w:rPr>
            <w:rFonts w:cs="Times New Roman"/>
            <w:b/>
            <w:noProof/>
            <w:sz w:val="16"/>
            <w:szCs w:val="16"/>
            <w:lang w:val="es-ES"/>
          </w:rPr>
          <w:t>8</w:t>
        </w:r>
        <w:r w:rsidRPr="00426533">
          <w:rPr>
            <w:rFonts w:cs="Times New Roman"/>
            <w:b/>
            <w:sz w:val="16"/>
            <w:szCs w:val="16"/>
          </w:rPr>
          <w:fldChar w:fldCharType="end"/>
        </w:r>
      </w:p>
      <w:p w14:paraId="7F0915D4" w14:textId="77777777" w:rsidR="00AB6E43" w:rsidRDefault="00AB6E43" w:rsidP="00FB73A9">
        <w:pPr>
          <w:pStyle w:val="Encabezado"/>
          <w:rPr>
            <w:rFonts w:ascii="Square721 Cn BT" w:hAnsi="Square721 Cn BT"/>
          </w:rPr>
        </w:pPr>
      </w:p>
      <w:p w14:paraId="52F070CB" w14:textId="6A761940" w:rsidR="00AB6E43" w:rsidRPr="00463356" w:rsidRDefault="00AB6E43"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D298" w14:textId="3BF17730" w:rsidR="00AB6E43" w:rsidRDefault="00AB6E43" w:rsidP="00463356">
    <w:pPr>
      <w:pStyle w:val="Encabezado"/>
      <w:tabs>
        <w:tab w:val="clear" w:pos="8838"/>
      </w:tabs>
      <w:jc w:val="right"/>
      <w:rPr>
        <w:rFonts w:ascii="Square721 Cn BT" w:hAnsi="Square721 Cn BT"/>
      </w:rPr>
    </w:pPr>
    <w:r>
      <w:rPr>
        <w:noProof/>
        <w:lang w:eastAsia="es-CO"/>
      </w:rPr>
      <mc:AlternateContent>
        <mc:Choice Requires="wps">
          <w:drawing>
            <wp:anchor distT="45720" distB="45720" distL="114300" distR="114300" simplePos="0" relativeHeight="251656192" behindDoc="0" locked="0" layoutInCell="1" allowOverlap="1" wp14:anchorId="57B69813" wp14:editId="1C809E74">
              <wp:simplePos x="0" y="0"/>
              <wp:positionH relativeFrom="column">
                <wp:posOffset>-89535</wp:posOffset>
              </wp:positionH>
              <wp:positionV relativeFrom="paragraph">
                <wp:posOffset>-167005</wp:posOffset>
              </wp:positionV>
              <wp:extent cx="4613910" cy="40767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407670"/>
                      </a:xfrm>
                      <a:prstGeom prst="rect">
                        <a:avLst/>
                      </a:prstGeom>
                      <a:solidFill>
                        <a:srgbClr val="FFFFFF"/>
                      </a:solidFill>
                      <a:ln w="9525">
                        <a:noFill/>
                        <a:miter lim="800000"/>
                        <a:headEnd/>
                        <a:tailEnd/>
                      </a:ln>
                    </wps:spPr>
                    <wps:txbx>
                      <w:txbxContent>
                        <w:p w14:paraId="0DFAAFE0" w14:textId="77777777" w:rsidR="003865C9" w:rsidRPr="003865C9" w:rsidRDefault="003865C9" w:rsidP="003865C9">
                          <w:pPr>
                            <w:rPr>
                              <w:sz w:val="16"/>
                              <w:szCs w:val="16"/>
                            </w:rPr>
                          </w:pPr>
                          <w:r w:rsidRPr="003865C9">
                            <w:rPr>
                              <w:bCs/>
                              <w:sz w:val="16"/>
                              <w:szCs w:val="16"/>
                            </w:rPr>
                            <w:t>Evaluación de la eficiencia en un quemador de biomasa densificada (pellets) con almacenamiento y amortiguación térmica, empleado en el calentamiento de aire.</w:t>
                          </w:r>
                        </w:p>
                        <w:p w14:paraId="50872779" w14:textId="06F206C7" w:rsidR="00AB6E43" w:rsidRPr="00FB73A9" w:rsidRDefault="00AB6E43" w:rsidP="00FB73A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05pt;margin-top:-13.15pt;width:363.3pt;height:3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" stroked="f">
              <v:textbox>
                <w:txbxContent>
                  <w:p w14:paraId="0DFAAFE0" w14:textId="77777777" w:rsidR="003865C9" w:rsidRPr="003865C9" w:rsidRDefault="003865C9" w:rsidP="003865C9">
                    <w:pPr>
                      <w:rPr>
                        <w:sz w:val="16"/>
                        <w:szCs w:val="16"/>
                      </w:rPr>
                    </w:pPr>
                    <w:r w:rsidRPr="003865C9">
                      <w:rPr>
                        <w:bCs/>
                        <w:sz w:val="16"/>
                        <w:szCs w:val="16"/>
                      </w:rPr>
                      <w:t>Evaluación de la eficiencia en un quemador de biomasa densificada (pellets) con almacenamiento y amortiguación térmica, empleado en el calentamiento de aire.</w:t>
                    </w:r>
                  </w:p>
                  <w:p w14:paraId="50872779" w14:textId="06F206C7" w:rsidR="00AB6E43" w:rsidRPr="00FB73A9" w:rsidRDefault="00AB6E43" w:rsidP="00FB73A9">
                    <w:pPr>
                      <w:rPr>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21191" w:rsidRPr="00D21191">
          <w:rPr>
            <w:rFonts w:cs="Times New Roman"/>
            <w:b/>
            <w:noProof/>
            <w:sz w:val="16"/>
            <w:szCs w:val="16"/>
            <w:lang w:val="es-ES"/>
          </w:rPr>
          <w:t>9</w:t>
        </w:r>
        <w:r w:rsidRPr="00426533">
          <w:rPr>
            <w:rFonts w:cs="Times New Roman"/>
            <w:b/>
            <w:sz w:val="16"/>
            <w:szCs w:val="16"/>
          </w:rPr>
          <w:fldChar w:fldCharType="end"/>
        </w:r>
      </w:sdtContent>
    </w:sdt>
  </w:p>
  <w:p w14:paraId="0D93E715" w14:textId="77777777" w:rsidR="00AB6E43" w:rsidRDefault="00AB6E43" w:rsidP="00463356">
    <w:pPr>
      <w:pStyle w:val="Encabezado"/>
      <w:tabs>
        <w:tab w:val="clear" w:pos="8838"/>
      </w:tabs>
      <w:jc w:val="right"/>
      <w:rPr>
        <w:rFonts w:ascii="Square721 Cn BT" w:hAnsi="Square721 Cn BT"/>
      </w:rPr>
    </w:pPr>
  </w:p>
  <w:p w14:paraId="6250F50B" w14:textId="77777777" w:rsidR="00AB6E43" w:rsidRPr="00463356" w:rsidRDefault="00AB6E43"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83F40" w14:textId="1AEEB326" w:rsidR="00AB6E43" w:rsidRPr="00F61111" w:rsidRDefault="00AB6E43" w:rsidP="00D519CE">
    <w:pPr>
      <w:pStyle w:val="Encabezado"/>
      <w:tabs>
        <w:tab w:val="left" w:pos="460"/>
      </w:tabs>
      <w:rPr>
        <w:rFonts w:cs="Times New Roman"/>
        <w:color w:val="003B68"/>
      </w:rPr>
    </w:pPr>
    <w:r w:rsidRPr="00F61111">
      <w:rPr>
        <w:noProof/>
        <w:color w:val="003B68"/>
        <w:lang w:eastAsia="es-CO"/>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AB6E43" w:rsidRPr="00F61111" w:rsidRDefault="00AB6E43"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AB6E43" w:rsidRPr="00F61111" w:rsidRDefault="00AB6E43" w:rsidP="00744D7B">
    <w:pPr>
      <w:pStyle w:val="Encabezado"/>
      <w:rPr>
        <w:color w:val="003B68"/>
      </w:rPr>
    </w:pPr>
    <w:r w:rsidRPr="00F61111">
      <w:rPr>
        <w:rFonts w:cs="Times New Roman"/>
        <w:noProof/>
        <w:color w:val="003B68"/>
        <w:lang w:eastAsia="es-CO"/>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5B6023"/>
    <w:multiLevelType w:val="hybridMultilevel"/>
    <w:tmpl w:val="12A6AE28"/>
    <w:lvl w:ilvl="0" w:tplc="17125B48">
      <w:start w:val="1"/>
      <w:numFmt w:val="upperRoman"/>
      <w:lvlText w:val="%1."/>
      <w:lvlJc w:val="right"/>
      <w:pPr>
        <w:tabs>
          <w:tab w:val="num" w:pos="540"/>
        </w:tabs>
        <w:ind w:left="540" w:hanging="180"/>
      </w:pPr>
    </w:lvl>
    <w:lvl w:ilvl="1" w:tplc="0C0A0009">
      <w:start w:val="1"/>
      <w:numFmt w:val="bullet"/>
      <w:lvlText w:val=""/>
      <w:lvlJc w:val="left"/>
      <w:pPr>
        <w:tabs>
          <w:tab w:val="num" w:pos="1440"/>
        </w:tabs>
        <w:ind w:left="1440" w:hanging="360"/>
      </w:pPr>
      <w:rPr>
        <w:rFonts w:ascii="Wingdings" w:hAnsi="Wingdings" w:hint="default"/>
      </w:rPr>
    </w:lvl>
    <w:lvl w:ilvl="2" w:tplc="A5B0E14E">
      <w:start w:val="1"/>
      <w:numFmt w:val="upperLetter"/>
      <w:lvlText w:val="%3."/>
      <w:lvlJc w:val="left"/>
      <w:pPr>
        <w:tabs>
          <w:tab w:val="num" w:pos="2340"/>
        </w:tabs>
        <w:ind w:left="234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nsid w:val="44DD05FA"/>
    <w:multiLevelType w:val="multilevel"/>
    <w:tmpl w:val="1BCEFD88"/>
    <w:lvl w:ilvl="0">
      <w:start w:val="1"/>
      <w:numFmt w:val="decimal"/>
      <w:suff w:val="space"/>
      <w:lvlText w:val="%1"/>
      <w:lvlJc w:val="left"/>
      <w:pPr>
        <w:ind w:left="227" w:hanging="227"/>
      </w:pPr>
      <w:rPr>
        <w:rFonts w:ascii="Arial" w:hAnsi="Arial" w:hint="default"/>
        <w:b/>
        <w:i w:val="0"/>
        <w:sz w:val="24"/>
      </w:rPr>
    </w:lvl>
    <w:lvl w:ilvl="1">
      <w:start w:val="1"/>
      <w:numFmt w:val="decimal"/>
      <w:suff w:val="space"/>
      <w:lvlText w:val="%1.%2"/>
      <w:lvlJc w:val="left"/>
      <w:pPr>
        <w:ind w:left="227" w:hanging="227"/>
      </w:pPr>
      <w:rPr>
        <w:rFonts w:ascii="Arial" w:hAnsi="Arial" w:hint="default"/>
        <w:b/>
        <w:i w:val="0"/>
        <w:sz w:val="20"/>
        <w:szCs w:val="20"/>
      </w:rPr>
    </w:lvl>
    <w:lvl w:ilvl="2">
      <w:start w:val="1"/>
      <w:numFmt w:val="decimal"/>
      <w:suff w:val="space"/>
      <w:lvlText w:val="%1.%2.%3"/>
      <w:lvlJc w:val="left"/>
      <w:pPr>
        <w:ind w:left="227" w:hanging="227"/>
      </w:pPr>
      <w:rPr>
        <w:rFonts w:ascii="Arial" w:hAnsi="Arial" w:hint="default"/>
        <w:b/>
        <w:i w:val="0"/>
        <w:sz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7"/>
  </w:num>
  <w:num w:numId="3">
    <w:abstractNumId w:val="11"/>
  </w:num>
  <w:num w:numId="4">
    <w:abstractNumId w:val="2"/>
  </w:num>
  <w:num w:numId="5">
    <w:abstractNumId w:val="0"/>
  </w:num>
  <w:num w:numId="6">
    <w:abstractNumId w:val="15"/>
  </w:num>
  <w:num w:numId="7">
    <w:abstractNumId w:val="12"/>
  </w:num>
  <w:num w:numId="8">
    <w:abstractNumId w:val="13"/>
  </w:num>
  <w:num w:numId="9">
    <w:abstractNumId w:val="16"/>
  </w:num>
  <w:num w:numId="10">
    <w:abstractNumId w:val="1"/>
  </w:num>
  <w:num w:numId="11">
    <w:abstractNumId w:val="3"/>
  </w:num>
  <w:num w:numId="12">
    <w:abstractNumId w:val="7"/>
  </w:num>
  <w:num w:numId="13">
    <w:abstractNumId w:val="14"/>
  </w:num>
  <w:num w:numId="14">
    <w:abstractNumId w:val="8"/>
  </w:num>
  <w:num w:numId="15">
    <w:abstractNumId w:val="6"/>
  </w:num>
  <w:num w:numId="16">
    <w:abstractNumId w:val="10"/>
  </w:num>
  <w:num w:numId="17">
    <w:abstractNumId w:val="17"/>
  </w:num>
  <w:num w:numId="18">
    <w:abstractNumId w:val="4"/>
  </w:num>
  <w:num w:numId="19">
    <w:abstractNumId w:val="9"/>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58E"/>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1580"/>
    <w:rsid w:val="000921B2"/>
    <w:rsid w:val="00093E80"/>
    <w:rsid w:val="00095786"/>
    <w:rsid w:val="0009613D"/>
    <w:rsid w:val="000A36FD"/>
    <w:rsid w:val="000B139B"/>
    <w:rsid w:val="000B2E24"/>
    <w:rsid w:val="000B42FA"/>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E6AD2"/>
    <w:rsid w:val="001E7075"/>
    <w:rsid w:val="001E7B17"/>
    <w:rsid w:val="001F549D"/>
    <w:rsid w:val="001F6ABA"/>
    <w:rsid w:val="00200B26"/>
    <w:rsid w:val="00202BA3"/>
    <w:rsid w:val="00203934"/>
    <w:rsid w:val="002073D4"/>
    <w:rsid w:val="00211049"/>
    <w:rsid w:val="00211EF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301A64"/>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1C07"/>
    <w:rsid w:val="00344784"/>
    <w:rsid w:val="003524B9"/>
    <w:rsid w:val="00355BFF"/>
    <w:rsid w:val="00363313"/>
    <w:rsid w:val="00367DB8"/>
    <w:rsid w:val="003713B8"/>
    <w:rsid w:val="00375168"/>
    <w:rsid w:val="0038242A"/>
    <w:rsid w:val="00382BC5"/>
    <w:rsid w:val="003865C9"/>
    <w:rsid w:val="00387873"/>
    <w:rsid w:val="00393BC5"/>
    <w:rsid w:val="00397327"/>
    <w:rsid w:val="00397767"/>
    <w:rsid w:val="003A5F1B"/>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0128"/>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CA9"/>
    <w:rsid w:val="00522D8D"/>
    <w:rsid w:val="00530DB1"/>
    <w:rsid w:val="0053696A"/>
    <w:rsid w:val="0054092E"/>
    <w:rsid w:val="00540B8D"/>
    <w:rsid w:val="00542BBE"/>
    <w:rsid w:val="00560761"/>
    <w:rsid w:val="00561135"/>
    <w:rsid w:val="00561DFC"/>
    <w:rsid w:val="0056201A"/>
    <w:rsid w:val="005705C8"/>
    <w:rsid w:val="005713F2"/>
    <w:rsid w:val="00587719"/>
    <w:rsid w:val="00593312"/>
    <w:rsid w:val="00594123"/>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173B6"/>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53BA"/>
    <w:rsid w:val="007B6E93"/>
    <w:rsid w:val="007B7A21"/>
    <w:rsid w:val="007C4674"/>
    <w:rsid w:val="007C543A"/>
    <w:rsid w:val="007C77BC"/>
    <w:rsid w:val="007C77E3"/>
    <w:rsid w:val="007D2E9F"/>
    <w:rsid w:val="007D3824"/>
    <w:rsid w:val="007D7F88"/>
    <w:rsid w:val="007E1603"/>
    <w:rsid w:val="007E5264"/>
    <w:rsid w:val="007E529F"/>
    <w:rsid w:val="007F0976"/>
    <w:rsid w:val="007F45D8"/>
    <w:rsid w:val="007F784C"/>
    <w:rsid w:val="00803946"/>
    <w:rsid w:val="00804988"/>
    <w:rsid w:val="00806391"/>
    <w:rsid w:val="00806FF8"/>
    <w:rsid w:val="0082639C"/>
    <w:rsid w:val="00826632"/>
    <w:rsid w:val="0083008D"/>
    <w:rsid w:val="00830C3B"/>
    <w:rsid w:val="00830CD8"/>
    <w:rsid w:val="0083175D"/>
    <w:rsid w:val="00832A11"/>
    <w:rsid w:val="008340AC"/>
    <w:rsid w:val="00834A97"/>
    <w:rsid w:val="0083589C"/>
    <w:rsid w:val="0084275A"/>
    <w:rsid w:val="00845B18"/>
    <w:rsid w:val="0084680B"/>
    <w:rsid w:val="008555D3"/>
    <w:rsid w:val="00856581"/>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3EC"/>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3C74"/>
    <w:rsid w:val="00A45915"/>
    <w:rsid w:val="00A45B82"/>
    <w:rsid w:val="00A46EE1"/>
    <w:rsid w:val="00A476DA"/>
    <w:rsid w:val="00A53A2C"/>
    <w:rsid w:val="00A60D18"/>
    <w:rsid w:val="00A64CCD"/>
    <w:rsid w:val="00A74404"/>
    <w:rsid w:val="00A751E1"/>
    <w:rsid w:val="00A84CB6"/>
    <w:rsid w:val="00A85C55"/>
    <w:rsid w:val="00A87F73"/>
    <w:rsid w:val="00AA4150"/>
    <w:rsid w:val="00AA5FE4"/>
    <w:rsid w:val="00AB530C"/>
    <w:rsid w:val="00AB6E43"/>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03ED"/>
    <w:rsid w:val="00CD3010"/>
    <w:rsid w:val="00CD31D4"/>
    <w:rsid w:val="00CD4C1A"/>
    <w:rsid w:val="00CE3094"/>
    <w:rsid w:val="00CE34E8"/>
    <w:rsid w:val="00CE68EC"/>
    <w:rsid w:val="00CF0E5B"/>
    <w:rsid w:val="00CF248E"/>
    <w:rsid w:val="00D01BF9"/>
    <w:rsid w:val="00D01CD2"/>
    <w:rsid w:val="00D03A90"/>
    <w:rsid w:val="00D056C4"/>
    <w:rsid w:val="00D061CE"/>
    <w:rsid w:val="00D07CD4"/>
    <w:rsid w:val="00D10124"/>
    <w:rsid w:val="00D11187"/>
    <w:rsid w:val="00D1398D"/>
    <w:rsid w:val="00D170DB"/>
    <w:rsid w:val="00D21191"/>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5D18"/>
    <w:rsid w:val="00E06167"/>
    <w:rsid w:val="00E072A9"/>
    <w:rsid w:val="00E10295"/>
    <w:rsid w:val="00E17485"/>
    <w:rsid w:val="00E21DD8"/>
    <w:rsid w:val="00E22F10"/>
    <w:rsid w:val="00E25B8C"/>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CE34E8"/>
    <w:pPr>
      <w:keepNext/>
      <w:tabs>
        <w:tab w:val="num" w:pos="864"/>
      </w:tabs>
      <w:spacing w:before="240" w:after="60"/>
      <w:ind w:left="864" w:hanging="864"/>
      <w:jc w:val="left"/>
      <w:outlineLvl w:val="3"/>
    </w:pPr>
    <w:rPr>
      <w:rFonts w:ascii="Arial" w:eastAsia="Times New Roman" w:hAnsi="Arial" w:cs="Times New Roman"/>
      <w:b/>
      <w:bCs/>
      <w:sz w:val="28"/>
      <w:szCs w:val="28"/>
      <w:lang w:val="es-ES" w:eastAsia="es-ES"/>
    </w:rPr>
  </w:style>
  <w:style w:type="paragraph" w:styleId="Ttulo5">
    <w:name w:val="heading 5"/>
    <w:basedOn w:val="Normal"/>
    <w:next w:val="Normal"/>
    <w:link w:val="Ttulo5Car"/>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CE34E8"/>
    <w:pPr>
      <w:tabs>
        <w:tab w:val="num" w:pos="1152"/>
      </w:tabs>
      <w:spacing w:before="240" w:after="60"/>
      <w:ind w:left="1152" w:hanging="1152"/>
      <w:jc w:val="left"/>
      <w:outlineLvl w:val="5"/>
    </w:pPr>
    <w:rPr>
      <w:rFonts w:ascii="Arial" w:eastAsia="Times New Roman" w:hAnsi="Arial" w:cs="Times New Roman"/>
      <w:b/>
      <w:bCs/>
      <w:sz w:val="22"/>
      <w:szCs w:val="22"/>
      <w:lang w:val="es-ES" w:eastAsia="es-ES"/>
    </w:rPr>
  </w:style>
  <w:style w:type="paragraph" w:styleId="Ttulo7">
    <w:name w:val="heading 7"/>
    <w:basedOn w:val="Normal"/>
    <w:next w:val="Normal"/>
    <w:link w:val="Ttulo7Car"/>
    <w:qFormat/>
    <w:rsid w:val="00CE34E8"/>
    <w:pPr>
      <w:tabs>
        <w:tab w:val="num" w:pos="1296"/>
      </w:tabs>
      <w:spacing w:before="240" w:after="60"/>
      <w:ind w:left="1296" w:hanging="1296"/>
      <w:jc w:val="left"/>
      <w:outlineLvl w:val="6"/>
    </w:pPr>
    <w:rPr>
      <w:rFonts w:ascii="Arial" w:eastAsia="Times New Roman" w:hAnsi="Arial" w:cs="Times New Roman"/>
      <w:sz w:val="18"/>
      <w:szCs w:val="24"/>
      <w:lang w:val="es-ES" w:eastAsia="es-ES"/>
    </w:rPr>
  </w:style>
  <w:style w:type="paragraph" w:styleId="Ttulo8">
    <w:name w:val="heading 8"/>
    <w:basedOn w:val="Normal"/>
    <w:next w:val="Normal"/>
    <w:link w:val="Ttulo8Car"/>
    <w:qFormat/>
    <w:rsid w:val="00CE34E8"/>
    <w:pPr>
      <w:tabs>
        <w:tab w:val="num" w:pos="1440"/>
      </w:tabs>
      <w:spacing w:before="240" w:after="60"/>
      <w:ind w:left="1440" w:hanging="1440"/>
      <w:jc w:val="left"/>
      <w:outlineLvl w:val="7"/>
    </w:pPr>
    <w:rPr>
      <w:rFonts w:ascii="Arial" w:eastAsia="Times New Roman" w:hAnsi="Arial" w:cs="Times New Roman"/>
      <w:i/>
      <w:iCs/>
      <w:sz w:val="18"/>
      <w:szCs w:val="24"/>
      <w:lang w:val="es-ES" w:eastAsia="es-ES"/>
    </w:rPr>
  </w:style>
  <w:style w:type="paragraph" w:styleId="Ttulo9">
    <w:name w:val="heading 9"/>
    <w:basedOn w:val="Normal"/>
    <w:next w:val="Normal"/>
    <w:link w:val="Ttulo9Car"/>
    <w:qFormat/>
    <w:rsid w:val="00CE34E8"/>
    <w:pPr>
      <w:tabs>
        <w:tab w:val="num" w:pos="1584"/>
      </w:tabs>
      <w:spacing w:before="240" w:after="60"/>
      <w:ind w:left="1584" w:hanging="1584"/>
      <w:jc w:val="left"/>
      <w:outlineLvl w:val="8"/>
    </w:pPr>
    <w:rPr>
      <w:rFonts w:ascii="Arial" w:eastAsia="Times New Roman" w:hAnsi="Arial" w:cs="Arial"/>
      <w:sz w:val="22"/>
      <w:szCs w:val="2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rsid w:val="00960B8F"/>
    <w:rPr>
      <w:rFonts w:cs="Times New Roman"/>
      <w:b/>
      <w:color w:val="00000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Ttulo4Car">
    <w:name w:val="Título 4 Car"/>
    <w:basedOn w:val="Fuentedeprrafopredeter"/>
    <w:link w:val="Ttulo4"/>
    <w:rsid w:val="00CE34E8"/>
    <w:rPr>
      <w:rFonts w:ascii="Arial" w:eastAsia="Times New Roman" w:hAnsi="Arial" w:cs="Times New Roman"/>
      <w:b/>
      <w:bCs/>
      <w:sz w:val="28"/>
      <w:szCs w:val="28"/>
      <w:lang w:val="es-ES" w:eastAsia="es-ES"/>
    </w:rPr>
  </w:style>
  <w:style w:type="character" w:customStyle="1" w:styleId="Ttulo6Car">
    <w:name w:val="Título 6 Car"/>
    <w:basedOn w:val="Fuentedeprrafopredeter"/>
    <w:link w:val="Ttulo6"/>
    <w:rsid w:val="00CE34E8"/>
    <w:rPr>
      <w:rFonts w:ascii="Arial" w:eastAsia="Times New Roman" w:hAnsi="Arial" w:cs="Times New Roman"/>
      <w:b/>
      <w:bCs/>
      <w:sz w:val="22"/>
      <w:szCs w:val="22"/>
      <w:lang w:val="es-ES" w:eastAsia="es-ES"/>
    </w:rPr>
  </w:style>
  <w:style w:type="character" w:customStyle="1" w:styleId="Ttulo7Car">
    <w:name w:val="Título 7 Car"/>
    <w:basedOn w:val="Fuentedeprrafopredeter"/>
    <w:link w:val="Ttulo7"/>
    <w:rsid w:val="00CE34E8"/>
    <w:rPr>
      <w:rFonts w:ascii="Arial" w:eastAsia="Times New Roman" w:hAnsi="Arial" w:cs="Times New Roman"/>
      <w:sz w:val="18"/>
      <w:szCs w:val="24"/>
      <w:lang w:val="es-ES" w:eastAsia="es-ES"/>
    </w:rPr>
  </w:style>
  <w:style w:type="character" w:customStyle="1" w:styleId="Ttulo8Car">
    <w:name w:val="Título 8 Car"/>
    <w:basedOn w:val="Fuentedeprrafopredeter"/>
    <w:link w:val="Ttulo8"/>
    <w:rsid w:val="00CE34E8"/>
    <w:rPr>
      <w:rFonts w:ascii="Arial" w:eastAsia="Times New Roman" w:hAnsi="Arial" w:cs="Times New Roman"/>
      <w:i/>
      <w:iCs/>
      <w:sz w:val="18"/>
      <w:szCs w:val="24"/>
      <w:lang w:val="es-ES" w:eastAsia="es-ES"/>
    </w:rPr>
  </w:style>
  <w:style w:type="character" w:customStyle="1" w:styleId="Ttulo9Car">
    <w:name w:val="Título 9 Car"/>
    <w:basedOn w:val="Fuentedeprrafopredeter"/>
    <w:link w:val="Ttulo9"/>
    <w:rsid w:val="00CE34E8"/>
    <w:rPr>
      <w:rFonts w:ascii="Arial" w:eastAsia="Times New Roman" w:hAnsi="Arial" w:cs="Arial"/>
      <w:sz w:val="22"/>
      <w:szCs w:val="22"/>
      <w:lang w:val="es-ES" w:eastAsia="es-ES"/>
    </w:rPr>
  </w:style>
  <w:style w:type="table" w:customStyle="1" w:styleId="Tablaconcuadrcula4">
    <w:name w:val="Tabla con cuadrícula4"/>
    <w:basedOn w:val="Tablanormal"/>
    <w:next w:val="Tablaconcuadrcula"/>
    <w:uiPriority w:val="59"/>
    <w:rsid w:val="00CE34E8"/>
    <w:pPr>
      <w:spacing w:after="0" w:line="240" w:lineRule="auto"/>
    </w:pPr>
    <w:rPr>
      <w:rFonts w:ascii="Calibri" w:hAnsi="Calibri"/>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A43C74"/>
    <w:rPr>
      <w:rFonts w:ascii="Consolas" w:hAnsi="Consolas"/>
    </w:rPr>
  </w:style>
  <w:style w:type="character" w:customStyle="1" w:styleId="HTMLconformatoprevioCar">
    <w:name w:val="HTML con formato previo Car"/>
    <w:basedOn w:val="Fuentedeprrafopredeter"/>
    <w:link w:val="HTMLconformatoprevio"/>
    <w:uiPriority w:val="99"/>
    <w:semiHidden/>
    <w:rsid w:val="00A43C74"/>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CE34E8"/>
    <w:pPr>
      <w:keepNext/>
      <w:tabs>
        <w:tab w:val="num" w:pos="864"/>
      </w:tabs>
      <w:spacing w:before="240" w:after="60"/>
      <w:ind w:left="864" w:hanging="864"/>
      <w:jc w:val="left"/>
      <w:outlineLvl w:val="3"/>
    </w:pPr>
    <w:rPr>
      <w:rFonts w:ascii="Arial" w:eastAsia="Times New Roman" w:hAnsi="Arial" w:cs="Times New Roman"/>
      <w:b/>
      <w:bCs/>
      <w:sz w:val="28"/>
      <w:szCs w:val="28"/>
      <w:lang w:val="es-ES" w:eastAsia="es-ES"/>
    </w:rPr>
  </w:style>
  <w:style w:type="paragraph" w:styleId="Ttulo5">
    <w:name w:val="heading 5"/>
    <w:basedOn w:val="Normal"/>
    <w:next w:val="Normal"/>
    <w:link w:val="Ttulo5Car"/>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CE34E8"/>
    <w:pPr>
      <w:tabs>
        <w:tab w:val="num" w:pos="1152"/>
      </w:tabs>
      <w:spacing w:before="240" w:after="60"/>
      <w:ind w:left="1152" w:hanging="1152"/>
      <w:jc w:val="left"/>
      <w:outlineLvl w:val="5"/>
    </w:pPr>
    <w:rPr>
      <w:rFonts w:ascii="Arial" w:eastAsia="Times New Roman" w:hAnsi="Arial" w:cs="Times New Roman"/>
      <w:b/>
      <w:bCs/>
      <w:sz w:val="22"/>
      <w:szCs w:val="22"/>
      <w:lang w:val="es-ES" w:eastAsia="es-ES"/>
    </w:rPr>
  </w:style>
  <w:style w:type="paragraph" w:styleId="Ttulo7">
    <w:name w:val="heading 7"/>
    <w:basedOn w:val="Normal"/>
    <w:next w:val="Normal"/>
    <w:link w:val="Ttulo7Car"/>
    <w:qFormat/>
    <w:rsid w:val="00CE34E8"/>
    <w:pPr>
      <w:tabs>
        <w:tab w:val="num" w:pos="1296"/>
      </w:tabs>
      <w:spacing w:before="240" w:after="60"/>
      <w:ind w:left="1296" w:hanging="1296"/>
      <w:jc w:val="left"/>
      <w:outlineLvl w:val="6"/>
    </w:pPr>
    <w:rPr>
      <w:rFonts w:ascii="Arial" w:eastAsia="Times New Roman" w:hAnsi="Arial" w:cs="Times New Roman"/>
      <w:sz w:val="18"/>
      <w:szCs w:val="24"/>
      <w:lang w:val="es-ES" w:eastAsia="es-ES"/>
    </w:rPr>
  </w:style>
  <w:style w:type="paragraph" w:styleId="Ttulo8">
    <w:name w:val="heading 8"/>
    <w:basedOn w:val="Normal"/>
    <w:next w:val="Normal"/>
    <w:link w:val="Ttulo8Car"/>
    <w:qFormat/>
    <w:rsid w:val="00CE34E8"/>
    <w:pPr>
      <w:tabs>
        <w:tab w:val="num" w:pos="1440"/>
      </w:tabs>
      <w:spacing w:before="240" w:after="60"/>
      <w:ind w:left="1440" w:hanging="1440"/>
      <w:jc w:val="left"/>
      <w:outlineLvl w:val="7"/>
    </w:pPr>
    <w:rPr>
      <w:rFonts w:ascii="Arial" w:eastAsia="Times New Roman" w:hAnsi="Arial" w:cs="Times New Roman"/>
      <w:i/>
      <w:iCs/>
      <w:sz w:val="18"/>
      <w:szCs w:val="24"/>
      <w:lang w:val="es-ES" w:eastAsia="es-ES"/>
    </w:rPr>
  </w:style>
  <w:style w:type="paragraph" w:styleId="Ttulo9">
    <w:name w:val="heading 9"/>
    <w:basedOn w:val="Normal"/>
    <w:next w:val="Normal"/>
    <w:link w:val="Ttulo9Car"/>
    <w:qFormat/>
    <w:rsid w:val="00CE34E8"/>
    <w:pPr>
      <w:tabs>
        <w:tab w:val="num" w:pos="1584"/>
      </w:tabs>
      <w:spacing w:before="240" w:after="60"/>
      <w:ind w:left="1584" w:hanging="1584"/>
      <w:jc w:val="left"/>
      <w:outlineLvl w:val="8"/>
    </w:pPr>
    <w:rPr>
      <w:rFonts w:ascii="Arial" w:eastAsia="Times New Roman" w:hAnsi="Arial" w:cs="Arial"/>
      <w:sz w:val="22"/>
      <w:szCs w:val="2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rsid w:val="00960B8F"/>
    <w:rPr>
      <w:rFonts w:cs="Times New Roman"/>
      <w:b/>
      <w:color w:val="00000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Ttulo4Car">
    <w:name w:val="Título 4 Car"/>
    <w:basedOn w:val="Fuentedeprrafopredeter"/>
    <w:link w:val="Ttulo4"/>
    <w:rsid w:val="00CE34E8"/>
    <w:rPr>
      <w:rFonts w:ascii="Arial" w:eastAsia="Times New Roman" w:hAnsi="Arial" w:cs="Times New Roman"/>
      <w:b/>
      <w:bCs/>
      <w:sz w:val="28"/>
      <w:szCs w:val="28"/>
      <w:lang w:val="es-ES" w:eastAsia="es-ES"/>
    </w:rPr>
  </w:style>
  <w:style w:type="character" w:customStyle="1" w:styleId="Ttulo6Car">
    <w:name w:val="Título 6 Car"/>
    <w:basedOn w:val="Fuentedeprrafopredeter"/>
    <w:link w:val="Ttulo6"/>
    <w:rsid w:val="00CE34E8"/>
    <w:rPr>
      <w:rFonts w:ascii="Arial" w:eastAsia="Times New Roman" w:hAnsi="Arial" w:cs="Times New Roman"/>
      <w:b/>
      <w:bCs/>
      <w:sz w:val="22"/>
      <w:szCs w:val="22"/>
      <w:lang w:val="es-ES" w:eastAsia="es-ES"/>
    </w:rPr>
  </w:style>
  <w:style w:type="character" w:customStyle="1" w:styleId="Ttulo7Car">
    <w:name w:val="Título 7 Car"/>
    <w:basedOn w:val="Fuentedeprrafopredeter"/>
    <w:link w:val="Ttulo7"/>
    <w:rsid w:val="00CE34E8"/>
    <w:rPr>
      <w:rFonts w:ascii="Arial" w:eastAsia="Times New Roman" w:hAnsi="Arial" w:cs="Times New Roman"/>
      <w:sz w:val="18"/>
      <w:szCs w:val="24"/>
      <w:lang w:val="es-ES" w:eastAsia="es-ES"/>
    </w:rPr>
  </w:style>
  <w:style w:type="character" w:customStyle="1" w:styleId="Ttulo8Car">
    <w:name w:val="Título 8 Car"/>
    <w:basedOn w:val="Fuentedeprrafopredeter"/>
    <w:link w:val="Ttulo8"/>
    <w:rsid w:val="00CE34E8"/>
    <w:rPr>
      <w:rFonts w:ascii="Arial" w:eastAsia="Times New Roman" w:hAnsi="Arial" w:cs="Times New Roman"/>
      <w:i/>
      <w:iCs/>
      <w:sz w:val="18"/>
      <w:szCs w:val="24"/>
      <w:lang w:val="es-ES" w:eastAsia="es-ES"/>
    </w:rPr>
  </w:style>
  <w:style w:type="character" w:customStyle="1" w:styleId="Ttulo9Car">
    <w:name w:val="Título 9 Car"/>
    <w:basedOn w:val="Fuentedeprrafopredeter"/>
    <w:link w:val="Ttulo9"/>
    <w:rsid w:val="00CE34E8"/>
    <w:rPr>
      <w:rFonts w:ascii="Arial" w:eastAsia="Times New Roman" w:hAnsi="Arial" w:cs="Arial"/>
      <w:sz w:val="22"/>
      <w:szCs w:val="22"/>
      <w:lang w:val="es-ES" w:eastAsia="es-ES"/>
    </w:rPr>
  </w:style>
  <w:style w:type="table" w:customStyle="1" w:styleId="Tablaconcuadrcula4">
    <w:name w:val="Tabla con cuadrícula4"/>
    <w:basedOn w:val="Tablanormal"/>
    <w:next w:val="Tablaconcuadrcula"/>
    <w:uiPriority w:val="59"/>
    <w:rsid w:val="00CE34E8"/>
    <w:pPr>
      <w:spacing w:after="0" w:line="240" w:lineRule="auto"/>
    </w:pPr>
    <w:rPr>
      <w:rFonts w:ascii="Calibri" w:hAnsi="Calibri"/>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A43C74"/>
    <w:rPr>
      <w:rFonts w:ascii="Consolas" w:hAnsi="Consolas"/>
    </w:rPr>
  </w:style>
  <w:style w:type="character" w:customStyle="1" w:styleId="HTMLconformatoprevioCar">
    <w:name w:val="HTML con formato previo Car"/>
    <w:basedOn w:val="Fuentedeprrafopredeter"/>
    <w:link w:val="HTMLconformatoprevio"/>
    <w:uiPriority w:val="99"/>
    <w:semiHidden/>
    <w:rsid w:val="00A43C7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4982665">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5861987">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5529158">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357283">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BDBA7C93-A00F-474B-B14A-77ACF3D3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9</Pages>
  <Words>12021</Words>
  <Characters>66121</Characters>
  <Application>Microsoft Office Word</Application>
  <DocSecurity>0</DocSecurity>
  <Lines>551</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UTS</cp:lastModifiedBy>
  <cp:revision>111</cp:revision>
  <cp:lastPrinted>2016-05-06T04:48:00Z</cp:lastPrinted>
  <dcterms:created xsi:type="dcterms:W3CDTF">2022-04-06T13:18:00Z</dcterms:created>
  <dcterms:modified xsi:type="dcterms:W3CDTF">2022-07-26T21:27:00Z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658af969-eb88-3a66-9f78-3766b89e4b08</vt:lpwstr>
  </property>
</Properties>
</file>